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2639697"/>
    <w:bookmarkStart w:id="1" w:name="_Toc144285946"/>
    <w:bookmarkStart w:id="2" w:name="_Toc145672652"/>
    <w:bookmarkStart w:id="3" w:name="_Toc145673052"/>
    <w:bookmarkStart w:id="4" w:name="_Toc145926882"/>
    <w:p w14:paraId="4FE8C113" w14:textId="309519DC" w:rsidR="003A1621" w:rsidRPr="00646BAE" w:rsidRDefault="00366F7D" w:rsidP="006321BD">
      <w:pPr>
        <w:pStyle w:val="PSCHeading1"/>
        <w:spacing w:after="0"/>
        <w:sectPr w:rsidR="003A1621" w:rsidRPr="00646BAE" w:rsidSect="001E2C36">
          <w:headerReference w:type="default" r:id="rId11"/>
          <w:footerReference w:type="default" r:id="rId12"/>
          <w:pgSz w:w="11906" w:h="16838"/>
          <w:pgMar w:top="1440" w:right="1134" w:bottom="425" w:left="1134" w:header="1020" w:footer="482" w:gutter="0"/>
          <w:pgNumType w:fmt="lowerRoman" w:start="1"/>
          <w:cols w:space="567"/>
          <w:docGrid w:linePitch="360"/>
        </w:sectPr>
      </w:pPr>
      <w:r>
        <w:rPr>
          <w:noProof/>
        </w:rPr>
        <mc:AlternateContent>
          <mc:Choice Requires="wps">
            <w:drawing>
              <wp:anchor distT="45720" distB="45720" distL="114300" distR="114300" simplePos="0" relativeHeight="251658247" behindDoc="0" locked="0" layoutInCell="1" allowOverlap="1" wp14:anchorId="6F7458B5" wp14:editId="05C05AF8">
                <wp:simplePos x="0" y="0"/>
                <wp:positionH relativeFrom="column">
                  <wp:posOffset>-453390</wp:posOffset>
                </wp:positionH>
                <wp:positionV relativeFrom="paragraph">
                  <wp:posOffset>-328612</wp:posOffset>
                </wp:positionV>
                <wp:extent cx="3248660" cy="295275"/>
                <wp:effectExtent l="0" t="0" r="0" b="0"/>
                <wp:wrapNone/>
                <wp:docPr id="217" name="Text Box 217" descr="Public Sector Commis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275"/>
                        </a:xfrm>
                        <a:prstGeom prst="rect">
                          <a:avLst/>
                        </a:prstGeom>
                        <a:noFill/>
                        <a:ln w="9525">
                          <a:noFill/>
                          <a:miter lim="800000"/>
                          <a:headEnd/>
                          <a:tailEnd/>
                        </a:ln>
                      </wps:spPr>
                      <wps:txbx>
                        <w:txbxContent>
                          <w:p w14:paraId="4ED2F158" w14:textId="2F99AC23" w:rsidR="00366F7D" w:rsidRPr="00366F7D" w:rsidRDefault="00366F7D" w:rsidP="00366F7D">
                            <w:pPr>
                              <w:tabs>
                                <w:tab w:val="center" w:pos="4513"/>
                                <w:tab w:val="right" w:pos="9026"/>
                              </w:tabs>
                              <w:spacing w:line="360" w:lineRule="auto"/>
                              <w:rPr>
                                <w:b/>
                              </w:rPr>
                            </w:pPr>
                            <w:r w:rsidRPr="00366F7D">
                              <w:rPr>
                                <w:rFonts w:eastAsia="Calibri" w:cs="Arial"/>
                                <w:b/>
                                <w:bCs/>
                                <w:sz w:val="22"/>
                                <w:szCs w:val="24"/>
                              </w:rPr>
                              <w:t>Public Sector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458B5" id="_x0000_t202" coordsize="21600,21600" o:spt="202" path="m,l,21600r21600,l21600,xe">
                <v:stroke joinstyle="miter"/>
                <v:path gradientshapeok="t" o:connecttype="rect"/>
              </v:shapetype>
              <v:shape id="Text Box 217" o:spid="_x0000_s1026" type="#_x0000_t202" alt="Public Sector Commission" style="position:absolute;margin-left:-35.7pt;margin-top:-25.85pt;width:255.8pt;height:23.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" filled="f" stroked="f">
                <v:textbox>
                  <w:txbxContent>
                    <w:p w14:paraId="4ED2F158" w14:textId="2F99AC23" w:rsidR="00366F7D" w:rsidRPr="00366F7D" w:rsidRDefault="00366F7D" w:rsidP="00366F7D">
                      <w:pPr>
                        <w:tabs>
                          <w:tab w:val="center" w:pos="4513"/>
                          <w:tab w:val="right" w:pos="9026"/>
                        </w:tabs>
                        <w:spacing w:line="360" w:lineRule="auto"/>
                        <w:rPr>
                          <w:b/>
                        </w:rPr>
                      </w:pPr>
                      <w:r w:rsidRPr="00366F7D">
                        <w:rPr>
                          <w:rFonts w:eastAsia="Calibri" w:cs="Arial"/>
                          <w:b/>
                          <w:bCs/>
                          <w:sz w:val="22"/>
                          <w:szCs w:val="24"/>
                        </w:rPr>
                        <w:t>Public Sector Commission</w:t>
                      </w:r>
                    </w:p>
                  </w:txbxContent>
                </v:textbox>
              </v:shape>
            </w:pict>
          </mc:Fallback>
        </mc:AlternateContent>
      </w:r>
      <w:r w:rsidR="00ED3E39">
        <w:rPr>
          <w:rFonts w:eastAsia="MS Mincho" w:cs="Arial"/>
          <w:noProof/>
          <w:sz w:val="48"/>
          <w:szCs w:val="48"/>
          <w:lang w:val="en-GB"/>
        </w:rPr>
        <w:drawing>
          <wp:anchor distT="0" distB="0" distL="114300" distR="114300" simplePos="0" relativeHeight="251658242" behindDoc="0" locked="1" layoutInCell="1" allowOverlap="1" wp14:anchorId="21727C15" wp14:editId="64794491">
            <wp:simplePos x="0" y="0"/>
            <wp:positionH relativeFrom="rightMargin">
              <wp:posOffset>-1361440</wp:posOffset>
            </wp:positionH>
            <wp:positionV relativeFrom="topMargin">
              <wp:posOffset>587375</wp:posOffset>
            </wp:positionV>
            <wp:extent cx="1679575" cy="305435"/>
            <wp:effectExtent l="0" t="0" r="0" b="0"/>
            <wp:wrapNone/>
            <wp:docPr id="201704363" name="Picture 201704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04363" name="Picture 20170436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9575" cy="305435"/>
                    </a:xfrm>
                    <a:prstGeom prst="rect">
                      <a:avLst/>
                    </a:prstGeom>
                  </pic:spPr>
                </pic:pic>
              </a:graphicData>
            </a:graphic>
            <wp14:sizeRelH relativeFrom="margin">
              <wp14:pctWidth>0</wp14:pctWidth>
            </wp14:sizeRelH>
            <wp14:sizeRelV relativeFrom="margin">
              <wp14:pctHeight>0</wp14:pctHeight>
            </wp14:sizeRelV>
          </wp:anchor>
        </w:drawing>
      </w:r>
      <w:r w:rsidR="00AD348B">
        <w:rPr>
          <w:noProof/>
        </w:rPr>
        <w:drawing>
          <wp:anchor distT="0" distB="0" distL="114300" distR="114300" simplePos="0" relativeHeight="251658243" behindDoc="0" locked="1" layoutInCell="1" allowOverlap="1" wp14:anchorId="66673B43" wp14:editId="1D5BD22E">
            <wp:simplePos x="0" y="0"/>
            <wp:positionH relativeFrom="column">
              <wp:posOffset>4591685</wp:posOffset>
            </wp:positionH>
            <wp:positionV relativeFrom="page">
              <wp:posOffset>9627870</wp:posOffset>
            </wp:positionV>
            <wp:extent cx="1663065" cy="539750"/>
            <wp:effectExtent l="0" t="0" r="635" b="6350"/>
            <wp:wrapNone/>
            <wp:docPr id="1951479893" name="Picture 19514798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479893" name="Picture 195147989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3065" cy="539750"/>
                    </a:xfrm>
                    <a:prstGeom prst="rect">
                      <a:avLst/>
                    </a:prstGeom>
                  </pic:spPr>
                </pic:pic>
              </a:graphicData>
            </a:graphic>
            <wp14:sizeRelH relativeFrom="margin">
              <wp14:pctWidth>0</wp14:pctWidth>
            </wp14:sizeRelH>
            <wp14:sizeRelV relativeFrom="margin">
              <wp14:pctHeight>0</wp14:pctHeight>
            </wp14:sizeRelV>
          </wp:anchor>
        </w:drawing>
      </w:r>
      <w:r w:rsidR="00AD348B">
        <w:rPr>
          <w:rFonts w:eastAsia="MS Mincho" w:cs="Arial"/>
          <w:noProof/>
          <w:sz w:val="48"/>
          <w:szCs w:val="48"/>
          <w:lang w:val="en-GB"/>
        </w:rPr>
        <w:drawing>
          <wp:anchor distT="0" distB="0" distL="114300" distR="114300" simplePos="0" relativeHeight="251658244" behindDoc="1" locked="1" layoutInCell="1" allowOverlap="1" wp14:anchorId="7C824A3D" wp14:editId="1CC24F25">
            <wp:simplePos x="0" y="0"/>
            <wp:positionH relativeFrom="margin">
              <wp:align>center</wp:align>
            </wp:positionH>
            <wp:positionV relativeFrom="margin">
              <wp:posOffset>182245</wp:posOffset>
            </wp:positionV>
            <wp:extent cx="6850380" cy="9211945"/>
            <wp:effectExtent l="0" t="0" r="7620" b="8255"/>
            <wp:wrapNone/>
            <wp:docPr id="382366913" name="Picture 3823669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0380" cy="9211945"/>
                    </a:xfrm>
                    <a:prstGeom prst="rect">
                      <a:avLst/>
                    </a:prstGeom>
                  </pic:spPr>
                </pic:pic>
              </a:graphicData>
            </a:graphic>
            <wp14:sizeRelH relativeFrom="margin">
              <wp14:pctWidth>0</wp14:pctWidth>
            </wp14:sizeRelH>
            <wp14:sizeRelV relativeFrom="margin">
              <wp14:pctHeight>0</wp14:pctHeight>
            </wp14:sizeRelV>
          </wp:anchor>
        </w:drawing>
      </w:r>
      <w:r w:rsidR="00AD348B">
        <w:rPr>
          <w:noProof/>
        </w:rPr>
        <mc:AlternateContent>
          <mc:Choice Requires="wps">
            <w:drawing>
              <wp:anchor distT="0" distB="0" distL="114300" distR="114300" simplePos="0" relativeHeight="251658245" behindDoc="0" locked="1" layoutInCell="1" allowOverlap="1" wp14:anchorId="64F02995" wp14:editId="6303C87C">
                <wp:simplePos x="0" y="0"/>
                <wp:positionH relativeFrom="column">
                  <wp:posOffset>-214630</wp:posOffset>
                </wp:positionH>
                <wp:positionV relativeFrom="page">
                  <wp:posOffset>1254760</wp:posOffset>
                </wp:positionV>
                <wp:extent cx="3034665" cy="408305"/>
                <wp:effectExtent l="0" t="0" r="0" b="0"/>
                <wp:wrapNone/>
                <wp:docPr id="1380446086" name="Text Box 1380446086" descr="Annual report"/>
                <wp:cNvGraphicFramePr/>
                <a:graphic xmlns:a="http://schemas.openxmlformats.org/drawingml/2006/main">
                  <a:graphicData uri="http://schemas.microsoft.com/office/word/2010/wordprocessingShape">
                    <wps:wsp>
                      <wps:cNvSpPr txBox="1"/>
                      <wps:spPr>
                        <a:xfrm>
                          <a:off x="0" y="0"/>
                          <a:ext cx="3034665" cy="408305"/>
                        </a:xfrm>
                        <a:prstGeom prst="rect">
                          <a:avLst/>
                        </a:prstGeom>
                        <a:noFill/>
                        <a:ln w="6350">
                          <a:noFill/>
                        </a:ln>
                      </wps:spPr>
                      <wps:txbx>
                        <w:txbxContent>
                          <w:p w14:paraId="54A3477B" w14:textId="77777777" w:rsidR="00AD348B" w:rsidRPr="00A650B2" w:rsidRDefault="00AD348B" w:rsidP="00AD348B">
                            <w:pPr>
                              <w:snapToGrid w:val="0"/>
                              <w:spacing w:after="0" w:line="240" w:lineRule="auto"/>
                              <w:rPr>
                                <w:rFonts w:ascii="Arial Narrow" w:hAnsi="Arial Narrow"/>
                                <w:sz w:val="124"/>
                                <w:szCs w:val="124"/>
                              </w:rPr>
                            </w:pPr>
                            <w:r w:rsidRPr="001936A9">
                              <w:rPr>
                                <w:sz w:val="46"/>
                                <w:szCs w:val="46"/>
                              </w:rPr>
                              <w:t>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2995" id="Text Box 1380446086" o:spid="_x0000_s1027" type="#_x0000_t202" alt="Annual report" style="position:absolute;margin-left:-16.9pt;margin-top:98.8pt;width:238.95pt;height:3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" filled="f" stroked="f" strokeweight=".5pt">
                <v:textbox>
                  <w:txbxContent>
                    <w:p w14:paraId="54A3477B" w14:textId="77777777" w:rsidR="00AD348B" w:rsidRPr="00A650B2" w:rsidRDefault="00AD348B" w:rsidP="00AD348B">
                      <w:pPr>
                        <w:snapToGrid w:val="0"/>
                        <w:spacing w:after="0" w:line="240" w:lineRule="auto"/>
                        <w:rPr>
                          <w:rFonts w:ascii="Arial Narrow" w:hAnsi="Arial Narrow"/>
                          <w:sz w:val="124"/>
                          <w:szCs w:val="124"/>
                        </w:rPr>
                      </w:pPr>
                      <w:r w:rsidRPr="001936A9">
                        <w:rPr>
                          <w:sz w:val="46"/>
                          <w:szCs w:val="46"/>
                        </w:rPr>
                        <w:t>ANNUAL REPORT</w:t>
                      </w:r>
                    </w:p>
                  </w:txbxContent>
                </v:textbox>
                <w10:wrap anchory="page"/>
                <w10:anchorlock/>
              </v:shape>
            </w:pict>
          </mc:Fallback>
        </mc:AlternateContent>
      </w:r>
      <w:r w:rsidR="00AD348B">
        <w:rPr>
          <w:noProof/>
        </w:rPr>
        <mc:AlternateContent>
          <mc:Choice Requires="wps">
            <w:drawing>
              <wp:anchor distT="0" distB="0" distL="114300" distR="114300" simplePos="0" relativeHeight="251658246" behindDoc="0" locked="1" layoutInCell="1" allowOverlap="1" wp14:anchorId="56CCD6A2" wp14:editId="53B04101">
                <wp:simplePos x="0" y="0"/>
                <wp:positionH relativeFrom="column">
                  <wp:posOffset>-224790</wp:posOffset>
                </wp:positionH>
                <wp:positionV relativeFrom="page">
                  <wp:posOffset>1497330</wp:posOffset>
                </wp:positionV>
                <wp:extent cx="3034665" cy="904240"/>
                <wp:effectExtent l="0" t="0" r="0" b="0"/>
                <wp:wrapNone/>
                <wp:docPr id="1766582235" name="Text Box 1766582235" descr="2022-23"/>
                <wp:cNvGraphicFramePr/>
                <a:graphic xmlns:a="http://schemas.openxmlformats.org/drawingml/2006/main">
                  <a:graphicData uri="http://schemas.microsoft.com/office/word/2010/wordprocessingShape">
                    <wps:wsp>
                      <wps:cNvSpPr txBox="1"/>
                      <wps:spPr>
                        <a:xfrm>
                          <a:off x="0" y="0"/>
                          <a:ext cx="3034665" cy="904240"/>
                        </a:xfrm>
                        <a:prstGeom prst="rect">
                          <a:avLst/>
                        </a:prstGeom>
                        <a:noFill/>
                        <a:ln w="6350">
                          <a:noFill/>
                        </a:ln>
                      </wps:spPr>
                      <wps:txbx>
                        <w:txbxContent>
                          <w:p w14:paraId="16FA1FBD" w14:textId="77777777" w:rsidR="00AD348B" w:rsidRPr="00A650B2" w:rsidRDefault="00AD348B" w:rsidP="00AD348B">
                            <w:pPr>
                              <w:snapToGrid w:val="0"/>
                              <w:spacing w:after="0" w:line="240" w:lineRule="auto"/>
                              <w:rPr>
                                <w:rFonts w:ascii="Arial Narrow" w:hAnsi="Arial Narrow"/>
                                <w:sz w:val="124"/>
                                <w:szCs w:val="124"/>
                              </w:rPr>
                            </w:pPr>
                            <w:r w:rsidRPr="00A650B2">
                              <w:rPr>
                                <w:rFonts w:ascii="Arial Narrow" w:hAnsi="Arial Narrow"/>
                                <w:sz w:val="124"/>
                                <w:szCs w:val="124"/>
                              </w:rPr>
                              <w:t>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D6A2" id="Text Box 1766582235" o:spid="_x0000_s1028" type="#_x0000_t202" alt="2022-23" style="position:absolute;margin-left:-17.7pt;margin-top:117.9pt;width:238.95pt;height:7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ENGwIAADM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" filled="f" stroked="f" strokeweight=".5pt">
                <v:textbox>
                  <w:txbxContent>
                    <w:p w14:paraId="16FA1FBD" w14:textId="77777777" w:rsidR="00AD348B" w:rsidRPr="00A650B2" w:rsidRDefault="00AD348B" w:rsidP="00AD348B">
                      <w:pPr>
                        <w:snapToGrid w:val="0"/>
                        <w:spacing w:after="0" w:line="240" w:lineRule="auto"/>
                        <w:rPr>
                          <w:rFonts w:ascii="Arial Narrow" w:hAnsi="Arial Narrow"/>
                          <w:sz w:val="124"/>
                          <w:szCs w:val="124"/>
                        </w:rPr>
                      </w:pPr>
                      <w:r w:rsidRPr="00A650B2">
                        <w:rPr>
                          <w:rFonts w:ascii="Arial Narrow" w:hAnsi="Arial Narrow"/>
                          <w:sz w:val="124"/>
                          <w:szCs w:val="124"/>
                        </w:rPr>
                        <w:t>2022–23</w:t>
                      </w:r>
                    </w:p>
                  </w:txbxContent>
                </v:textbox>
                <w10:wrap anchory="page"/>
                <w10:anchorlock/>
              </v:shape>
            </w:pict>
          </mc:Fallback>
        </mc:AlternateContent>
      </w:r>
      <w:bookmarkEnd w:id="0"/>
      <w:bookmarkEnd w:id="1"/>
      <w:bookmarkEnd w:id="2"/>
      <w:bookmarkEnd w:id="3"/>
      <w:bookmarkEnd w:id="4"/>
      <w:r w:rsidR="009F04F7">
        <w:br w:type="page"/>
      </w:r>
      <w:bookmarkStart w:id="5" w:name="_Toc113459872"/>
      <w:bookmarkStart w:id="6" w:name="_Toc141342838"/>
      <w:bookmarkStart w:id="7" w:name="_Toc141781776"/>
      <w:bookmarkStart w:id="8" w:name="_Toc141781938"/>
      <w:bookmarkStart w:id="9" w:name="_Toc109285874"/>
      <w:bookmarkStart w:id="10" w:name="_Toc1545503165"/>
    </w:p>
    <w:p w14:paraId="1B1D02BA" w14:textId="1B350660" w:rsidR="00030727" w:rsidRPr="00FC7053" w:rsidRDefault="00030727" w:rsidP="006321BD">
      <w:pPr>
        <w:pStyle w:val="PSCHeading1"/>
        <w:spacing w:after="0"/>
      </w:pPr>
      <w:bookmarkStart w:id="11" w:name="_Toc142639698"/>
      <w:bookmarkStart w:id="12" w:name="_Toc144285947"/>
      <w:bookmarkStart w:id="13" w:name="_Toc145672653"/>
      <w:bookmarkStart w:id="14" w:name="_Toc145673053"/>
      <w:bookmarkStart w:id="15" w:name="_Toc145926883"/>
      <w:r w:rsidRPr="00FC7053">
        <w:lastRenderedPageBreak/>
        <w:t>Public Se</w:t>
      </w:r>
      <w:r w:rsidR="00BB71DC">
        <w:t>ctor</w:t>
      </w:r>
      <w:r w:rsidRPr="00FC7053">
        <w:t xml:space="preserve"> Commission annual report 202</w:t>
      </w:r>
      <w:bookmarkEnd w:id="5"/>
      <w:r w:rsidR="00210E90">
        <w:t>2</w:t>
      </w:r>
      <w:r w:rsidR="00EF6B27">
        <w:t>–</w:t>
      </w:r>
      <w:r w:rsidR="00210E90">
        <w:t>2023</w:t>
      </w:r>
      <w:bookmarkEnd w:id="6"/>
      <w:bookmarkEnd w:id="7"/>
      <w:bookmarkEnd w:id="8"/>
      <w:bookmarkEnd w:id="11"/>
      <w:bookmarkEnd w:id="12"/>
      <w:bookmarkEnd w:id="13"/>
      <w:bookmarkEnd w:id="14"/>
      <w:bookmarkEnd w:id="15"/>
    </w:p>
    <w:bookmarkEnd w:id="9"/>
    <w:bookmarkEnd w:id="10"/>
    <w:p w14:paraId="3DAED0B6" w14:textId="2EC14E88" w:rsidR="00042389" w:rsidRPr="003B60D5" w:rsidRDefault="00042389" w:rsidP="009C64BB">
      <w:pPr>
        <w:rPr>
          <w:rFonts w:cs="Arial"/>
        </w:rPr>
      </w:pPr>
      <w:r w:rsidRPr="3818FBF8">
        <w:rPr>
          <w:rFonts w:cs="Arial"/>
        </w:rPr>
        <w:t>The annual report provides detailed information about the Public Se</w:t>
      </w:r>
      <w:r w:rsidR="00BB71DC" w:rsidRPr="3818FBF8">
        <w:rPr>
          <w:rFonts w:cs="Arial"/>
        </w:rPr>
        <w:t>ctor</w:t>
      </w:r>
      <w:r w:rsidRPr="3818FBF8">
        <w:rPr>
          <w:rFonts w:cs="Arial"/>
        </w:rPr>
        <w:t xml:space="preserve"> Commission</w:t>
      </w:r>
      <w:r w:rsidR="00577A7F" w:rsidRPr="3818FBF8">
        <w:rPr>
          <w:rFonts w:cs="Arial"/>
        </w:rPr>
        <w:t>’s</w:t>
      </w:r>
      <w:r w:rsidRPr="3818FBF8">
        <w:rPr>
          <w:rFonts w:cs="Arial"/>
        </w:rPr>
        <w:t xml:space="preserve"> financial and non-financial performance for 202</w:t>
      </w:r>
      <w:r w:rsidR="0001427C" w:rsidRPr="3818FBF8">
        <w:rPr>
          <w:rFonts w:cs="Arial"/>
        </w:rPr>
        <w:t>2</w:t>
      </w:r>
      <w:r w:rsidRPr="3818FBF8">
        <w:rPr>
          <w:rFonts w:cs="Arial"/>
        </w:rPr>
        <w:t>–2</w:t>
      </w:r>
      <w:r w:rsidR="0001427C" w:rsidRPr="3818FBF8">
        <w:rPr>
          <w:rFonts w:cs="Arial"/>
        </w:rPr>
        <w:t>3</w:t>
      </w:r>
      <w:r w:rsidRPr="3818FBF8">
        <w:rPr>
          <w:rFonts w:cs="Arial"/>
        </w:rPr>
        <w:t>.</w:t>
      </w:r>
      <w:r w:rsidR="00D26023" w:rsidRPr="3818FBF8">
        <w:rPr>
          <w:rFonts w:cs="Arial"/>
        </w:rPr>
        <w:t xml:space="preserve"> It aligns </w:t>
      </w:r>
      <w:r w:rsidR="00D26023" w:rsidRPr="00B5176C">
        <w:rPr>
          <w:rFonts w:cs="Arial"/>
        </w:rPr>
        <w:t xml:space="preserve">to its </w:t>
      </w:r>
      <w:hyperlink r:id="rId16" w:history="1">
        <w:r w:rsidR="002627F9" w:rsidRPr="00423373">
          <w:rPr>
            <w:rStyle w:val="Hyperlink"/>
            <w:b w:val="0"/>
            <w:color w:val="0D0D0D" w:themeColor="text1" w:themeTint="F2"/>
          </w:rPr>
          <w:t>strategic plan 20</w:t>
        </w:r>
        <w:r w:rsidR="002627F9" w:rsidRPr="00423373">
          <w:rPr>
            <w:rStyle w:val="Hyperlink"/>
            <w:rFonts w:cs="Arial"/>
            <w:b w:val="0"/>
            <w:color w:val="0D0D0D" w:themeColor="text1" w:themeTint="F2"/>
          </w:rPr>
          <w:t>22</w:t>
        </w:r>
        <w:r w:rsidR="002627F9" w:rsidRPr="00423373">
          <w:rPr>
            <w:rStyle w:val="Hyperlink"/>
            <w:b w:val="0"/>
            <w:color w:val="0D0D0D" w:themeColor="text1" w:themeTint="F2"/>
          </w:rPr>
          <w:t>–202</w:t>
        </w:r>
        <w:r w:rsidR="002627F9" w:rsidRPr="00423373">
          <w:rPr>
            <w:rStyle w:val="Hyperlink"/>
            <w:rFonts w:cs="Arial"/>
            <w:b w:val="0"/>
            <w:color w:val="0D0D0D" w:themeColor="text1" w:themeTint="F2"/>
          </w:rPr>
          <w:t>6</w:t>
        </w:r>
      </w:hyperlink>
      <w:r w:rsidRPr="00B5176C">
        <w:rPr>
          <w:rFonts w:cs="Arial"/>
          <w:i/>
        </w:rPr>
        <w:t xml:space="preserve"> </w:t>
      </w:r>
      <w:r w:rsidRPr="00B5176C">
        <w:rPr>
          <w:rFonts w:cs="Arial"/>
        </w:rPr>
        <w:t>and the</w:t>
      </w:r>
      <w:r w:rsidR="00D966F7">
        <w:rPr>
          <w:bCs/>
          <w:u w:val="single"/>
        </w:rPr>
        <w:t xml:space="preserve"> </w:t>
      </w:r>
      <w:hyperlink r:id="rId17" w:history="1">
        <w:r w:rsidR="00D966F7" w:rsidRPr="000155F2">
          <w:rPr>
            <w:rStyle w:val="Hyperlink"/>
            <w:b w:val="0"/>
          </w:rPr>
          <w:t>2022–23 Service Delivery Statements</w:t>
        </w:r>
      </w:hyperlink>
      <w:r w:rsidR="00AB6ACC">
        <w:rPr>
          <w:rStyle w:val="FootnoteReference"/>
          <w:szCs w:val="20"/>
        </w:rPr>
        <w:footnoteReference w:id="2"/>
      </w:r>
      <w:r w:rsidRPr="00B5176C">
        <w:rPr>
          <w:szCs w:val="20"/>
        </w:rPr>
        <w:t>.</w:t>
      </w:r>
    </w:p>
    <w:p w14:paraId="1BC52729" w14:textId="4910992D" w:rsidR="00E33D8A" w:rsidRPr="003B60D5" w:rsidRDefault="00E33D8A" w:rsidP="006C2A32">
      <w:pPr>
        <w:rPr>
          <w:rFonts w:cs="Arial"/>
          <w:spacing w:val="-3"/>
          <w:szCs w:val="20"/>
        </w:rPr>
      </w:pPr>
      <w:r w:rsidRPr="003B60D5">
        <w:rPr>
          <w:rFonts w:cs="Arial"/>
          <w:szCs w:val="20"/>
        </w:rPr>
        <w:t>Additional</w:t>
      </w:r>
      <w:r w:rsidRPr="003B60D5">
        <w:rPr>
          <w:rFonts w:cs="Arial"/>
          <w:spacing w:val="-7"/>
          <w:szCs w:val="20"/>
        </w:rPr>
        <w:t xml:space="preserve"> </w:t>
      </w:r>
      <w:r w:rsidRPr="003B60D5">
        <w:rPr>
          <w:rFonts w:cs="Arial"/>
          <w:szCs w:val="20"/>
        </w:rPr>
        <w:t>annual</w:t>
      </w:r>
      <w:r w:rsidRPr="003B60D5">
        <w:rPr>
          <w:rFonts w:cs="Arial"/>
          <w:spacing w:val="-7"/>
          <w:szCs w:val="20"/>
        </w:rPr>
        <w:t xml:space="preserve"> </w:t>
      </w:r>
      <w:r w:rsidRPr="003B60D5">
        <w:rPr>
          <w:rFonts w:cs="Arial"/>
          <w:szCs w:val="20"/>
        </w:rPr>
        <w:t>reporting</w:t>
      </w:r>
      <w:r w:rsidRPr="003B60D5">
        <w:rPr>
          <w:rFonts w:cs="Arial"/>
          <w:spacing w:val="-6"/>
          <w:szCs w:val="20"/>
        </w:rPr>
        <w:t xml:space="preserve"> </w:t>
      </w:r>
      <w:r w:rsidRPr="003B60D5">
        <w:rPr>
          <w:rFonts w:cs="Arial"/>
          <w:szCs w:val="20"/>
        </w:rPr>
        <w:t>requirements are</w:t>
      </w:r>
      <w:r w:rsidRPr="003B60D5">
        <w:rPr>
          <w:rFonts w:cs="Arial"/>
          <w:spacing w:val="-6"/>
          <w:szCs w:val="20"/>
        </w:rPr>
        <w:t xml:space="preserve"> </w:t>
      </w:r>
      <w:r w:rsidRPr="003B60D5">
        <w:rPr>
          <w:rFonts w:cs="Arial"/>
          <w:szCs w:val="20"/>
        </w:rPr>
        <w:t>published</w:t>
      </w:r>
      <w:r w:rsidRPr="003B60D5">
        <w:rPr>
          <w:rFonts w:cs="Arial"/>
          <w:spacing w:val="-6"/>
          <w:szCs w:val="20"/>
        </w:rPr>
        <w:t xml:space="preserve"> </w:t>
      </w:r>
      <w:r w:rsidRPr="003B60D5">
        <w:rPr>
          <w:rFonts w:cs="Arial"/>
          <w:szCs w:val="20"/>
        </w:rPr>
        <w:t>on the</w:t>
      </w:r>
      <w:r w:rsidRPr="003B60D5">
        <w:rPr>
          <w:rFonts w:cs="Arial"/>
          <w:spacing w:val="-10"/>
          <w:szCs w:val="20"/>
        </w:rPr>
        <w:t xml:space="preserve"> </w:t>
      </w:r>
      <w:bookmarkStart w:id="16" w:name="_Hlk108529680"/>
      <w:r w:rsidR="005865AF" w:rsidRPr="003B60D5">
        <w:fldChar w:fldCharType="begin"/>
      </w:r>
      <w:r w:rsidR="005865AF" w:rsidRPr="003B60D5">
        <w:rPr>
          <w:szCs w:val="20"/>
        </w:rPr>
        <w:instrText xml:space="preserve"> HYPERLINK "http://www.data.qld.gov.au/" </w:instrText>
      </w:r>
      <w:r w:rsidR="005865AF" w:rsidRPr="003B60D5">
        <w:fldChar w:fldCharType="separate"/>
      </w:r>
      <w:r w:rsidRPr="003B60D5">
        <w:rPr>
          <w:rStyle w:val="Hyperlink"/>
          <w:rFonts w:cs="Arial"/>
          <w:b w:val="0"/>
          <w:bCs/>
          <w:color w:val="auto"/>
          <w:szCs w:val="20"/>
        </w:rPr>
        <w:t>Queensland Government Open Data portal</w:t>
      </w:r>
      <w:r w:rsidR="005865AF" w:rsidRPr="003B60D5">
        <w:rPr>
          <w:rStyle w:val="Hyperlink"/>
          <w:rFonts w:cs="Arial"/>
          <w:b w:val="0"/>
          <w:bCs/>
          <w:color w:val="auto"/>
          <w:szCs w:val="20"/>
        </w:rPr>
        <w:fldChar w:fldCharType="end"/>
      </w:r>
      <w:bookmarkEnd w:id="16"/>
      <w:r w:rsidR="00AB19D2">
        <w:rPr>
          <w:rStyle w:val="FootnoteReference"/>
          <w:rFonts w:cs="Arial"/>
          <w:spacing w:val="-10"/>
          <w:szCs w:val="20"/>
        </w:rPr>
        <w:footnoteReference w:id="3"/>
      </w:r>
      <w:r w:rsidRPr="003B60D5">
        <w:rPr>
          <w:rFonts w:cs="Arial"/>
          <w:spacing w:val="-10"/>
          <w:szCs w:val="20"/>
        </w:rPr>
        <w:t xml:space="preserve"> i</w:t>
      </w:r>
      <w:r w:rsidRPr="003B60D5">
        <w:rPr>
          <w:rFonts w:cs="Arial"/>
          <w:szCs w:val="20"/>
        </w:rPr>
        <w:t>ncluding information about consultancies</w:t>
      </w:r>
      <w:r w:rsidRPr="003B60D5">
        <w:rPr>
          <w:rFonts w:cs="Arial"/>
          <w:spacing w:val="-3"/>
          <w:szCs w:val="20"/>
        </w:rPr>
        <w:t xml:space="preserve"> and the Queensland Language Services Policy. </w:t>
      </w:r>
    </w:p>
    <w:p w14:paraId="757C0ADC" w14:textId="48FDF1F7" w:rsidR="00E33D8A" w:rsidRPr="003B60D5" w:rsidRDefault="00E33D8A" w:rsidP="00E33D8A">
      <w:pPr>
        <w:rPr>
          <w:spacing w:val="-3"/>
          <w:szCs w:val="20"/>
        </w:rPr>
      </w:pPr>
      <w:r w:rsidRPr="003B60D5">
        <w:rPr>
          <w:spacing w:val="-3"/>
          <w:szCs w:val="20"/>
        </w:rPr>
        <w:t>There was no overseas travel expenditure in 202</w:t>
      </w:r>
      <w:r w:rsidR="004C2698" w:rsidRPr="003B60D5">
        <w:rPr>
          <w:spacing w:val="-3"/>
          <w:szCs w:val="20"/>
        </w:rPr>
        <w:t>2</w:t>
      </w:r>
      <w:r w:rsidRPr="003B60D5">
        <w:rPr>
          <w:spacing w:val="-3"/>
          <w:szCs w:val="20"/>
        </w:rPr>
        <w:t>–2</w:t>
      </w:r>
      <w:r w:rsidR="004C2698" w:rsidRPr="003B60D5">
        <w:rPr>
          <w:spacing w:val="-3"/>
          <w:szCs w:val="20"/>
        </w:rPr>
        <w:t>3</w:t>
      </w:r>
      <w:r w:rsidRPr="003B60D5">
        <w:rPr>
          <w:spacing w:val="-3"/>
          <w:szCs w:val="20"/>
        </w:rPr>
        <w:t>, therefore it is not reported in this annual report.</w:t>
      </w:r>
    </w:p>
    <w:p w14:paraId="7689A922" w14:textId="43175647" w:rsidR="00042389" w:rsidRPr="003B60D5" w:rsidRDefault="00ED5DFA" w:rsidP="00042389">
      <w:pPr>
        <w:rPr>
          <w:szCs w:val="20"/>
        </w:rPr>
      </w:pPr>
      <w:r w:rsidRPr="003B60D5">
        <w:rPr>
          <w:szCs w:val="20"/>
        </w:rPr>
        <w:t xml:space="preserve">This annual report </w:t>
      </w:r>
      <w:r w:rsidR="00042389" w:rsidRPr="003B60D5">
        <w:rPr>
          <w:szCs w:val="20"/>
        </w:rPr>
        <w:t>has</w:t>
      </w:r>
      <w:r w:rsidR="00042389" w:rsidRPr="003B60D5">
        <w:rPr>
          <w:spacing w:val="-11"/>
          <w:szCs w:val="20"/>
        </w:rPr>
        <w:t xml:space="preserve"> </w:t>
      </w:r>
      <w:r w:rsidR="00042389" w:rsidRPr="003B60D5">
        <w:rPr>
          <w:szCs w:val="20"/>
        </w:rPr>
        <w:t>been</w:t>
      </w:r>
      <w:r w:rsidR="00042389" w:rsidRPr="003B60D5">
        <w:rPr>
          <w:spacing w:val="-10"/>
          <w:szCs w:val="20"/>
        </w:rPr>
        <w:t xml:space="preserve"> </w:t>
      </w:r>
      <w:r w:rsidR="00042389" w:rsidRPr="003B60D5">
        <w:rPr>
          <w:szCs w:val="20"/>
        </w:rPr>
        <w:t>prepared</w:t>
      </w:r>
      <w:r w:rsidR="00042389" w:rsidRPr="003B60D5">
        <w:rPr>
          <w:spacing w:val="-10"/>
          <w:szCs w:val="20"/>
        </w:rPr>
        <w:t xml:space="preserve"> </w:t>
      </w:r>
      <w:r w:rsidR="00042389" w:rsidRPr="003B60D5">
        <w:rPr>
          <w:szCs w:val="20"/>
        </w:rPr>
        <w:t>for</w:t>
      </w:r>
      <w:r w:rsidR="00042389" w:rsidRPr="003B60D5">
        <w:rPr>
          <w:spacing w:val="-10"/>
          <w:szCs w:val="20"/>
        </w:rPr>
        <w:t xml:space="preserve"> </w:t>
      </w:r>
      <w:r w:rsidR="00042389" w:rsidRPr="003B60D5">
        <w:rPr>
          <w:szCs w:val="20"/>
        </w:rPr>
        <w:t>the</w:t>
      </w:r>
      <w:r w:rsidR="00042389" w:rsidRPr="003B60D5">
        <w:rPr>
          <w:spacing w:val="-10"/>
          <w:szCs w:val="20"/>
        </w:rPr>
        <w:t xml:space="preserve"> </w:t>
      </w:r>
      <w:r w:rsidR="003841F7" w:rsidRPr="003B60D5">
        <w:rPr>
          <w:szCs w:val="20"/>
        </w:rPr>
        <w:t>Public Sector Commissioner</w:t>
      </w:r>
      <w:r w:rsidR="00042389" w:rsidRPr="003B60D5">
        <w:rPr>
          <w:szCs w:val="20"/>
        </w:rPr>
        <w:t xml:space="preserve"> to submit to </w:t>
      </w:r>
      <w:r w:rsidR="00D26023" w:rsidRPr="003B60D5">
        <w:rPr>
          <w:szCs w:val="20"/>
        </w:rPr>
        <w:t xml:space="preserve">Queensland </w:t>
      </w:r>
      <w:r w:rsidR="00042389" w:rsidRPr="003B60D5">
        <w:rPr>
          <w:szCs w:val="20"/>
        </w:rPr>
        <w:t>Parliament</w:t>
      </w:r>
      <w:r w:rsidR="004612F6" w:rsidRPr="003B60D5">
        <w:rPr>
          <w:szCs w:val="20"/>
        </w:rPr>
        <w:t xml:space="preserve">, and to </w:t>
      </w:r>
      <w:r w:rsidR="00042389" w:rsidRPr="003B60D5">
        <w:rPr>
          <w:szCs w:val="20"/>
        </w:rPr>
        <w:t>meet the needs of stakeholders including government agencies, business and</w:t>
      </w:r>
      <w:r w:rsidR="00042389" w:rsidRPr="003B60D5">
        <w:rPr>
          <w:spacing w:val="-9"/>
          <w:szCs w:val="20"/>
        </w:rPr>
        <w:t xml:space="preserve"> </w:t>
      </w:r>
      <w:r w:rsidR="00042389" w:rsidRPr="003B60D5">
        <w:rPr>
          <w:szCs w:val="20"/>
        </w:rPr>
        <w:t>industry,</w:t>
      </w:r>
      <w:r w:rsidR="00042389" w:rsidRPr="003B60D5">
        <w:rPr>
          <w:spacing w:val="-8"/>
          <w:szCs w:val="20"/>
        </w:rPr>
        <w:t xml:space="preserve"> </w:t>
      </w:r>
      <w:r w:rsidR="00042389" w:rsidRPr="003B60D5">
        <w:rPr>
          <w:szCs w:val="20"/>
        </w:rPr>
        <w:t>members</w:t>
      </w:r>
      <w:r w:rsidR="00042389" w:rsidRPr="003B60D5">
        <w:rPr>
          <w:spacing w:val="-10"/>
          <w:szCs w:val="20"/>
        </w:rPr>
        <w:t xml:space="preserve"> </w:t>
      </w:r>
      <w:r w:rsidR="00042389" w:rsidRPr="003B60D5">
        <w:rPr>
          <w:szCs w:val="20"/>
        </w:rPr>
        <w:t>of</w:t>
      </w:r>
      <w:r w:rsidR="00042389" w:rsidRPr="003B60D5">
        <w:rPr>
          <w:spacing w:val="-9"/>
          <w:szCs w:val="20"/>
        </w:rPr>
        <w:t xml:space="preserve"> </w:t>
      </w:r>
      <w:r w:rsidR="00042389" w:rsidRPr="003B60D5">
        <w:rPr>
          <w:szCs w:val="20"/>
        </w:rPr>
        <w:t>the</w:t>
      </w:r>
      <w:r w:rsidR="00042389" w:rsidRPr="003B60D5">
        <w:rPr>
          <w:spacing w:val="-8"/>
          <w:szCs w:val="20"/>
        </w:rPr>
        <w:t xml:space="preserve"> </w:t>
      </w:r>
      <w:r w:rsidR="00042389" w:rsidRPr="003B60D5">
        <w:rPr>
          <w:szCs w:val="20"/>
        </w:rPr>
        <w:t>community,</w:t>
      </w:r>
      <w:r w:rsidR="00042389" w:rsidRPr="003B60D5">
        <w:rPr>
          <w:spacing w:val="-9"/>
          <w:szCs w:val="20"/>
        </w:rPr>
        <w:t xml:space="preserve"> </w:t>
      </w:r>
      <w:proofErr w:type="gramStart"/>
      <w:r w:rsidR="00042389" w:rsidRPr="003B60D5">
        <w:rPr>
          <w:szCs w:val="20"/>
        </w:rPr>
        <w:t>media</w:t>
      </w:r>
      <w:proofErr w:type="gramEnd"/>
      <w:r w:rsidR="00042389" w:rsidRPr="003B60D5">
        <w:rPr>
          <w:spacing w:val="-8"/>
          <w:szCs w:val="20"/>
        </w:rPr>
        <w:t xml:space="preserve"> </w:t>
      </w:r>
      <w:r w:rsidR="00042389" w:rsidRPr="003B60D5">
        <w:rPr>
          <w:szCs w:val="20"/>
        </w:rPr>
        <w:t>and</w:t>
      </w:r>
      <w:r w:rsidR="00042389" w:rsidRPr="003B60D5">
        <w:rPr>
          <w:spacing w:val="-9"/>
          <w:szCs w:val="20"/>
        </w:rPr>
        <w:t xml:space="preserve"> </w:t>
      </w:r>
      <w:r w:rsidR="00042389" w:rsidRPr="003B60D5">
        <w:rPr>
          <w:szCs w:val="20"/>
        </w:rPr>
        <w:t>employees.</w:t>
      </w:r>
    </w:p>
    <w:p w14:paraId="1CF961BB" w14:textId="277A96D6" w:rsidR="00F816EA" w:rsidRPr="003B60D5" w:rsidRDefault="00042389" w:rsidP="00042389">
      <w:pPr>
        <w:rPr>
          <w:szCs w:val="20"/>
        </w:rPr>
      </w:pPr>
      <w:r w:rsidRPr="003B60D5">
        <w:rPr>
          <w:szCs w:val="20"/>
        </w:rPr>
        <w:t>© The State of Queensland (Public Se</w:t>
      </w:r>
      <w:r w:rsidR="002E067F" w:rsidRPr="003B60D5">
        <w:rPr>
          <w:szCs w:val="20"/>
        </w:rPr>
        <w:t>ctor</w:t>
      </w:r>
      <w:r w:rsidRPr="003B60D5">
        <w:rPr>
          <w:szCs w:val="20"/>
        </w:rPr>
        <w:t xml:space="preserve"> Commission) 202</w:t>
      </w:r>
      <w:r w:rsidR="003E0A06" w:rsidRPr="003B60D5">
        <w:rPr>
          <w:szCs w:val="20"/>
        </w:rPr>
        <w:t>3</w:t>
      </w:r>
      <w:r w:rsidRPr="003B60D5">
        <w:rPr>
          <w:szCs w:val="20"/>
        </w:rPr>
        <w:t xml:space="preserve"> </w:t>
      </w:r>
    </w:p>
    <w:p w14:paraId="6C9AF142" w14:textId="7DA779D2" w:rsidR="00042389" w:rsidRPr="003B60D5" w:rsidRDefault="00042389" w:rsidP="00042389">
      <w:pPr>
        <w:rPr>
          <w:szCs w:val="20"/>
        </w:rPr>
      </w:pPr>
      <w:r w:rsidRPr="003B60D5">
        <w:rPr>
          <w:szCs w:val="20"/>
        </w:rPr>
        <w:t>ISSN: 1837–2201</w:t>
      </w:r>
    </w:p>
    <w:p w14:paraId="0F2670CF" w14:textId="597D60D4" w:rsidR="00042389" w:rsidRPr="003B60D5" w:rsidRDefault="005C3C93" w:rsidP="00042389">
      <w:pPr>
        <w:rPr>
          <w:szCs w:val="20"/>
        </w:rPr>
      </w:pPr>
      <w:r w:rsidRPr="003B60D5">
        <w:rPr>
          <w:noProof/>
          <w:color w:val="auto"/>
          <w:szCs w:val="20"/>
        </w:rPr>
        <w:drawing>
          <wp:anchor distT="0" distB="0" distL="114300" distR="114300" simplePos="0" relativeHeight="251658241" behindDoc="1" locked="0" layoutInCell="1" allowOverlap="0" wp14:anchorId="0A7C851B" wp14:editId="1AE0E75D">
            <wp:simplePos x="0" y="0"/>
            <wp:positionH relativeFrom="column">
              <wp:posOffset>0</wp:posOffset>
            </wp:positionH>
            <wp:positionV relativeFrom="page">
              <wp:posOffset>5526405</wp:posOffset>
            </wp:positionV>
            <wp:extent cx="1198245" cy="410210"/>
            <wp:effectExtent l="0" t="0" r="1905" b="8890"/>
            <wp:wrapTight wrapText="largest">
              <wp:wrapPolygon edited="0">
                <wp:start x="0" y="0"/>
                <wp:lineTo x="0" y="21065"/>
                <wp:lineTo x="21291" y="21065"/>
                <wp:lineTo x="21291" y="0"/>
                <wp:lineTo x="0" y="0"/>
              </wp:wrapPolygon>
            </wp:wrapTight>
            <wp:docPr id="1" name="Picture 1" descr="Creative Common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reative Commons 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24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7AB0A94" w:rsidRPr="003B60D5">
        <w:rPr>
          <w:szCs w:val="20"/>
        </w:rPr>
        <w:t>This annual report is licensed by the State of Queensland (Public Se</w:t>
      </w:r>
      <w:r w:rsidR="002E067F" w:rsidRPr="003B60D5">
        <w:rPr>
          <w:szCs w:val="20"/>
        </w:rPr>
        <w:t>ctor</w:t>
      </w:r>
      <w:r w:rsidR="37AB0A94" w:rsidRPr="003B60D5">
        <w:rPr>
          <w:szCs w:val="20"/>
        </w:rPr>
        <w:t xml:space="preserve"> Commission) under a </w:t>
      </w:r>
      <w:hyperlink r:id="rId19">
        <w:r w:rsidR="37AB0A94" w:rsidRPr="003B60D5">
          <w:rPr>
            <w:rStyle w:val="Hyperlink"/>
            <w:b w:val="0"/>
            <w:color w:val="auto"/>
            <w:szCs w:val="20"/>
          </w:rPr>
          <w:t>Creative Commons Attribution (CC BY) 4.0 International licence</w:t>
        </w:r>
        <w:r w:rsidR="00384E02">
          <w:rPr>
            <w:rStyle w:val="FootnoteReference"/>
            <w:color w:val="auto"/>
            <w:szCs w:val="20"/>
            <w:u w:val="single"/>
          </w:rPr>
          <w:footnoteReference w:id="4"/>
        </w:r>
        <w:r w:rsidR="37AB0A94" w:rsidRPr="003B60D5">
          <w:rPr>
            <w:rStyle w:val="Hyperlink"/>
            <w:b w:val="0"/>
            <w:color w:val="auto"/>
            <w:szCs w:val="20"/>
          </w:rPr>
          <w:t>.</w:t>
        </w:r>
      </w:hyperlink>
    </w:p>
    <w:p w14:paraId="51CABCAC" w14:textId="19B896C9" w:rsidR="00C00915" w:rsidRPr="003B60D5" w:rsidRDefault="00042389" w:rsidP="000B7162">
      <w:pPr>
        <w:pStyle w:val="ImprintPageText"/>
        <w:rPr>
          <w:sz w:val="20"/>
          <w:szCs w:val="20"/>
        </w:rPr>
      </w:pPr>
      <w:r w:rsidRPr="003B60D5">
        <w:rPr>
          <w:sz w:val="20"/>
          <w:szCs w:val="20"/>
        </w:rPr>
        <w:t xml:space="preserve">In essence, you are free to copy, communicate and adapt this annual report, </w:t>
      </w:r>
      <w:proofErr w:type="gramStart"/>
      <w:r w:rsidRPr="003B60D5">
        <w:rPr>
          <w:sz w:val="20"/>
          <w:szCs w:val="20"/>
        </w:rPr>
        <w:t>as long as</w:t>
      </w:r>
      <w:proofErr w:type="gramEnd"/>
      <w:r w:rsidRPr="003B60D5">
        <w:rPr>
          <w:sz w:val="20"/>
          <w:szCs w:val="20"/>
        </w:rPr>
        <w:t xml:space="preserve"> you attribute the work to the State of Queensland (Public Se</w:t>
      </w:r>
      <w:r w:rsidR="002E067F" w:rsidRPr="003B60D5">
        <w:rPr>
          <w:sz w:val="20"/>
          <w:szCs w:val="20"/>
        </w:rPr>
        <w:t>ctor</w:t>
      </w:r>
      <w:r w:rsidRPr="003B60D5">
        <w:rPr>
          <w:sz w:val="20"/>
          <w:szCs w:val="20"/>
        </w:rPr>
        <w:t xml:space="preserve"> Commission). </w:t>
      </w:r>
    </w:p>
    <w:p w14:paraId="6752A444" w14:textId="4B0CABF6" w:rsidR="00042389" w:rsidRPr="003B60D5" w:rsidRDefault="00042389" w:rsidP="00C00915">
      <w:pPr>
        <w:rPr>
          <w:b/>
          <w:bCs/>
          <w:szCs w:val="20"/>
        </w:rPr>
      </w:pPr>
      <w:r w:rsidRPr="003B60D5">
        <w:rPr>
          <w:b/>
          <w:bCs/>
          <w:szCs w:val="20"/>
        </w:rPr>
        <w:t>Attribution</w:t>
      </w:r>
    </w:p>
    <w:p w14:paraId="1CD6B8A6" w14:textId="6D1330F6" w:rsidR="00042389" w:rsidRPr="003B60D5" w:rsidRDefault="00042389" w:rsidP="00042389">
      <w:pPr>
        <w:rPr>
          <w:szCs w:val="20"/>
        </w:rPr>
      </w:pPr>
      <w:r w:rsidRPr="003B60D5">
        <w:rPr>
          <w:szCs w:val="20"/>
        </w:rPr>
        <w:t>Content from this annual report should be attributed as: The State of Queensland (Public Se</w:t>
      </w:r>
      <w:r w:rsidR="00726CA6" w:rsidRPr="003B60D5">
        <w:rPr>
          <w:szCs w:val="20"/>
        </w:rPr>
        <w:t>ctor</w:t>
      </w:r>
      <w:r w:rsidRPr="003B60D5">
        <w:rPr>
          <w:szCs w:val="20"/>
        </w:rPr>
        <w:t xml:space="preserve"> Commission) annual report 202</w:t>
      </w:r>
      <w:r w:rsidR="00582AB0" w:rsidRPr="003B60D5">
        <w:rPr>
          <w:szCs w:val="20"/>
        </w:rPr>
        <w:t>2</w:t>
      </w:r>
      <w:r w:rsidRPr="003B60D5">
        <w:rPr>
          <w:szCs w:val="20"/>
        </w:rPr>
        <w:t>–2</w:t>
      </w:r>
      <w:r w:rsidR="00582AB0" w:rsidRPr="003B60D5">
        <w:rPr>
          <w:szCs w:val="20"/>
        </w:rPr>
        <w:t>3</w:t>
      </w:r>
      <w:r w:rsidRPr="003B60D5">
        <w:rPr>
          <w:szCs w:val="20"/>
        </w:rPr>
        <w:t>.</w:t>
      </w:r>
    </w:p>
    <w:p w14:paraId="5D96E4CB" w14:textId="01DBD703" w:rsidR="00042389" w:rsidRPr="003B60D5" w:rsidRDefault="00042389" w:rsidP="00D26023">
      <w:pPr>
        <w:spacing w:before="240"/>
        <w:rPr>
          <w:b/>
          <w:bCs/>
          <w:szCs w:val="20"/>
        </w:rPr>
      </w:pPr>
      <w:r w:rsidRPr="003B60D5">
        <w:rPr>
          <w:b/>
          <w:szCs w:val="20"/>
        </w:rPr>
        <w:t>Interpreter service statement</w:t>
      </w:r>
    </w:p>
    <w:p w14:paraId="0A9FC9CE" w14:textId="69D42D68" w:rsidR="00C540D1" w:rsidRPr="003B60D5" w:rsidRDefault="00F27C69" w:rsidP="00042389">
      <w:pPr>
        <w:rPr>
          <w:szCs w:val="20"/>
        </w:rPr>
      </w:pPr>
      <w:r w:rsidRPr="003B60D5">
        <w:rPr>
          <w:noProof/>
          <w:szCs w:val="20"/>
        </w:rPr>
        <w:drawing>
          <wp:anchor distT="0" distB="0" distL="114300" distR="114300" simplePos="0" relativeHeight="251658240" behindDoc="1" locked="0" layoutInCell="1" allowOverlap="0" wp14:anchorId="5E1EEE0A" wp14:editId="37A7A212">
            <wp:simplePos x="0" y="0"/>
            <wp:positionH relativeFrom="column">
              <wp:posOffset>0</wp:posOffset>
            </wp:positionH>
            <wp:positionV relativeFrom="page">
              <wp:posOffset>7912100</wp:posOffset>
            </wp:positionV>
            <wp:extent cx="820420" cy="791845"/>
            <wp:effectExtent l="0" t="0" r="0" b="8255"/>
            <wp:wrapTight wrapText="largest">
              <wp:wrapPolygon edited="0">
                <wp:start x="0" y="0"/>
                <wp:lineTo x="0" y="21306"/>
                <wp:lineTo x="21065" y="21306"/>
                <wp:lineTo x="21065" y="0"/>
                <wp:lineTo x="0" y="0"/>
              </wp:wrapPolygon>
            </wp:wrapTight>
            <wp:docPr id="2" name="Picture 2" descr="Interpreter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Interpreter pictogram"/>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20420" cy="791845"/>
                    </a:xfrm>
                    <a:prstGeom prst="rect">
                      <a:avLst/>
                    </a:prstGeom>
                  </pic:spPr>
                </pic:pic>
              </a:graphicData>
            </a:graphic>
            <wp14:sizeRelH relativeFrom="margin">
              <wp14:pctWidth>0</wp14:pctWidth>
            </wp14:sizeRelH>
            <wp14:sizeRelV relativeFrom="margin">
              <wp14:pctHeight>0</wp14:pctHeight>
            </wp14:sizeRelV>
          </wp:anchor>
        </w:drawing>
      </w:r>
      <w:r w:rsidR="00042389" w:rsidRPr="003B60D5">
        <w:rPr>
          <w:szCs w:val="20"/>
        </w:rPr>
        <w:t xml:space="preserve">The Queensland Government is committed to providing accessible </w:t>
      </w:r>
      <w:r w:rsidR="00042389" w:rsidRPr="003B60D5">
        <w:rPr>
          <w:szCs w:val="20"/>
        </w:rPr>
        <w:t>services to Queenslanders from all</w:t>
      </w:r>
      <w:r w:rsidR="00776E8F">
        <w:rPr>
          <w:szCs w:val="20"/>
        </w:rPr>
        <w:t xml:space="preserve"> c</w:t>
      </w:r>
      <w:r w:rsidR="00042389" w:rsidRPr="003B60D5">
        <w:rPr>
          <w:szCs w:val="20"/>
        </w:rPr>
        <w:t xml:space="preserve">ulturally and linguistically diverse backgrounds. </w:t>
      </w:r>
    </w:p>
    <w:p w14:paraId="71A34B8C" w14:textId="36B9B630" w:rsidR="00042389" w:rsidRPr="003B60D5" w:rsidRDefault="00042389" w:rsidP="3CFBE5A7">
      <w:pPr>
        <w:rPr>
          <w:b/>
          <w:bCs/>
          <w:szCs w:val="20"/>
        </w:rPr>
      </w:pPr>
      <w:r w:rsidRPr="003B60D5">
        <w:rPr>
          <w:szCs w:val="20"/>
        </w:rPr>
        <w:t>If you have difficulty in understanding the annual report, you can contact us on</w:t>
      </w:r>
      <w:r w:rsidR="00C77E1A" w:rsidRPr="003B60D5">
        <w:rPr>
          <w:szCs w:val="20"/>
        </w:rPr>
        <w:t xml:space="preserve"> </w:t>
      </w:r>
      <w:r w:rsidRPr="003B60D5">
        <w:rPr>
          <w:szCs w:val="20"/>
        </w:rPr>
        <w:t>13 QGOV (13 74 68) and we will arrange an interpreter to effectively communicate the report to you.</w:t>
      </w:r>
    </w:p>
    <w:p w14:paraId="6C039F36" w14:textId="50E51989" w:rsidR="00042389" w:rsidRPr="003B60D5" w:rsidRDefault="00042389" w:rsidP="3CFBE5A7">
      <w:pPr>
        <w:rPr>
          <w:b/>
          <w:bCs/>
          <w:szCs w:val="20"/>
        </w:rPr>
      </w:pPr>
      <w:r w:rsidRPr="003B60D5">
        <w:rPr>
          <w:b/>
          <w:bCs/>
          <w:szCs w:val="20"/>
        </w:rPr>
        <w:t>More information</w:t>
      </w:r>
    </w:p>
    <w:p w14:paraId="0A1F1D3B" w14:textId="51EE3F59" w:rsidR="006345FE" w:rsidRPr="003B60D5" w:rsidRDefault="006345FE" w:rsidP="006345FE">
      <w:pPr>
        <w:rPr>
          <w:szCs w:val="20"/>
        </w:rPr>
      </w:pPr>
      <w:r w:rsidRPr="003B60D5">
        <w:rPr>
          <w:szCs w:val="20"/>
        </w:rPr>
        <w:t>Contact the Public Se</w:t>
      </w:r>
      <w:r w:rsidR="006D3458" w:rsidRPr="003B60D5">
        <w:rPr>
          <w:szCs w:val="20"/>
        </w:rPr>
        <w:t>ctor</w:t>
      </w:r>
      <w:r w:rsidRPr="003B60D5">
        <w:rPr>
          <w:szCs w:val="20"/>
        </w:rPr>
        <w:t xml:space="preserve"> Commission:</w:t>
      </w:r>
    </w:p>
    <w:p w14:paraId="66B1187A" w14:textId="00E7DBD7" w:rsidR="006345FE" w:rsidRPr="003B60D5" w:rsidRDefault="006345FE" w:rsidP="00733B15">
      <w:pPr>
        <w:pStyle w:val="ListParagraph"/>
        <w:numPr>
          <w:ilvl w:val="0"/>
          <w:numId w:val="9"/>
        </w:numPr>
        <w:ind w:left="426"/>
        <w:rPr>
          <w:szCs w:val="20"/>
        </w:rPr>
      </w:pPr>
      <w:r w:rsidRPr="003B60D5">
        <w:rPr>
          <w:szCs w:val="20"/>
        </w:rPr>
        <w:t xml:space="preserve">PO Box 15190, City East, Brisbane QLD 4002 </w:t>
      </w:r>
    </w:p>
    <w:p w14:paraId="3304FB6E" w14:textId="2548EB9F" w:rsidR="006345FE" w:rsidRPr="003B60D5" w:rsidRDefault="006345FE" w:rsidP="00733B15">
      <w:pPr>
        <w:pStyle w:val="ListParagraph"/>
        <w:numPr>
          <w:ilvl w:val="0"/>
          <w:numId w:val="9"/>
        </w:numPr>
        <w:ind w:left="426"/>
        <w:rPr>
          <w:szCs w:val="20"/>
        </w:rPr>
      </w:pPr>
      <w:r w:rsidRPr="003B60D5">
        <w:rPr>
          <w:szCs w:val="20"/>
        </w:rPr>
        <w:t>(07) 3003 2800</w:t>
      </w:r>
    </w:p>
    <w:p w14:paraId="612E6F25" w14:textId="0184CE31" w:rsidR="006345FE" w:rsidRPr="00733B15" w:rsidRDefault="003B4964" w:rsidP="00733B15">
      <w:pPr>
        <w:pStyle w:val="ListParagraph"/>
        <w:numPr>
          <w:ilvl w:val="0"/>
          <w:numId w:val="9"/>
        </w:numPr>
        <w:ind w:left="426"/>
        <w:rPr>
          <w:szCs w:val="20"/>
          <w:u w:val="single"/>
        </w:rPr>
      </w:pPr>
      <w:hyperlink r:id="rId22">
        <w:r w:rsidR="55056FE1" w:rsidRPr="00733B15">
          <w:rPr>
            <w:szCs w:val="20"/>
            <w:u w:val="single"/>
          </w:rPr>
          <w:t>commission.psc@psc.qld.gov.au</w:t>
        </w:r>
      </w:hyperlink>
      <w:r w:rsidR="55056FE1" w:rsidRPr="00733B15">
        <w:rPr>
          <w:szCs w:val="20"/>
          <w:u w:val="single"/>
        </w:rPr>
        <w:t xml:space="preserve"> </w:t>
      </w:r>
    </w:p>
    <w:p w14:paraId="08AA52F8" w14:textId="5EC87367" w:rsidR="00D26023" w:rsidRPr="003B60D5" w:rsidRDefault="00042389" w:rsidP="00042389">
      <w:pPr>
        <w:rPr>
          <w:rStyle w:val="Hyperlink"/>
          <w:b w:val="0"/>
          <w:color w:val="auto"/>
          <w:szCs w:val="20"/>
        </w:rPr>
      </w:pPr>
      <w:r w:rsidRPr="29D83A1A">
        <w:t xml:space="preserve">An electronic version </w:t>
      </w:r>
      <w:r w:rsidR="004612F6" w:rsidRPr="29D83A1A">
        <w:t xml:space="preserve">of this document is available on the </w:t>
      </w:r>
      <w:hyperlink r:id="rId23" w:history="1">
        <w:r w:rsidR="004612F6" w:rsidRPr="29D83A1A">
          <w:rPr>
            <w:rStyle w:val="Hyperlink"/>
            <w:b w:val="0"/>
            <w:color w:val="auto"/>
          </w:rPr>
          <w:t>Public Se</w:t>
        </w:r>
        <w:r w:rsidR="00726CA6" w:rsidRPr="29D83A1A">
          <w:rPr>
            <w:rStyle w:val="Hyperlink"/>
            <w:b w:val="0"/>
            <w:color w:val="auto"/>
          </w:rPr>
          <w:t>ctor</w:t>
        </w:r>
        <w:r w:rsidR="004612F6" w:rsidRPr="29D83A1A">
          <w:rPr>
            <w:rStyle w:val="Hyperlink"/>
            <w:b w:val="0"/>
            <w:color w:val="auto"/>
          </w:rPr>
          <w:t xml:space="preserve"> Commission website</w:t>
        </w:r>
        <w:r w:rsidR="00522980">
          <w:rPr>
            <w:rStyle w:val="FootnoteReference"/>
            <w:color w:val="auto"/>
            <w:u w:val="single"/>
          </w:rPr>
          <w:footnoteReference w:id="5"/>
        </w:r>
        <w:r w:rsidR="004612F6" w:rsidRPr="29D83A1A">
          <w:rPr>
            <w:rStyle w:val="Hyperlink"/>
            <w:b w:val="0"/>
            <w:color w:val="auto"/>
          </w:rPr>
          <w:t>.</w:t>
        </w:r>
      </w:hyperlink>
    </w:p>
    <w:p w14:paraId="5283B1E6" w14:textId="6B04C7DB" w:rsidR="00AE3F0F" w:rsidRDefault="0089237E" w:rsidP="00D44D43">
      <w:pPr>
        <w:pStyle w:val="PSCHeading1"/>
        <w:spacing w:before="240" w:after="0"/>
      </w:pPr>
      <w:bookmarkStart w:id="17" w:name="_Toc141342839"/>
      <w:bookmarkStart w:id="18" w:name="_Toc141781777"/>
      <w:bookmarkStart w:id="19" w:name="_Toc141781939"/>
      <w:bookmarkStart w:id="20" w:name="_Toc142639699"/>
      <w:bookmarkStart w:id="21" w:name="_Toc144285948"/>
      <w:bookmarkStart w:id="22" w:name="_Toc145672654"/>
      <w:bookmarkStart w:id="23" w:name="_Toc145673054"/>
      <w:bookmarkStart w:id="24" w:name="_Toc145926884"/>
      <w:bookmarkStart w:id="25" w:name="_Toc1232219053"/>
      <w:r>
        <w:t>Acknowledgement</w:t>
      </w:r>
      <w:bookmarkEnd w:id="17"/>
      <w:bookmarkEnd w:id="18"/>
      <w:bookmarkEnd w:id="19"/>
      <w:bookmarkEnd w:id="20"/>
      <w:bookmarkEnd w:id="21"/>
      <w:bookmarkEnd w:id="22"/>
      <w:bookmarkEnd w:id="23"/>
      <w:bookmarkEnd w:id="24"/>
      <w:r>
        <w:t xml:space="preserve"> </w:t>
      </w:r>
      <w:bookmarkEnd w:id="25"/>
    </w:p>
    <w:p w14:paraId="2723E8A3" w14:textId="7AA6226D" w:rsidR="00AE3F0F" w:rsidRPr="003B60D5" w:rsidRDefault="00AE3F0F" w:rsidP="00AE3F0F">
      <w:pPr>
        <w:rPr>
          <w:szCs w:val="20"/>
        </w:rPr>
      </w:pPr>
      <w:r w:rsidRPr="003B60D5">
        <w:rPr>
          <w:szCs w:val="20"/>
        </w:rPr>
        <w:t>We pay our respects to the Aboriginal peoples and Torres Strait Islander peoples of this land, their ancestors, and their legacy. The foundations laid by these ancestors—the First Australians—give strength, inspiration, and courage to current and future generations towards creating a better Queensland.</w:t>
      </w:r>
    </w:p>
    <w:p w14:paraId="27A06B2A" w14:textId="02F24C38" w:rsidR="00AE3F0F" w:rsidRPr="003B60D5" w:rsidRDefault="00AE3F0F" w:rsidP="00AE3F0F">
      <w:pPr>
        <w:rPr>
          <w:szCs w:val="20"/>
        </w:rPr>
      </w:pPr>
      <w:r w:rsidRPr="003B60D5">
        <w:rPr>
          <w:szCs w:val="20"/>
        </w:rPr>
        <w:t>We recognise it is our collective efforts and responsibility as individuals, communities, and governments to ensure equality, recognition, and advancement of Aboriginal and Torres Strait Islander Queenslanders across all aspects of society and everyday life.</w:t>
      </w:r>
    </w:p>
    <w:p w14:paraId="503BFBB4" w14:textId="77777777" w:rsidR="00AE3F0F" w:rsidRPr="003B60D5" w:rsidRDefault="00AE3F0F" w:rsidP="00AE3F0F">
      <w:pPr>
        <w:rPr>
          <w:szCs w:val="20"/>
        </w:rPr>
      </w:pPr>
      <w:r w:rsidRPr="003B60D5">
        <w:rPr>
          <w:szCs w:val="20"/>
        </w:rPr>
        <w:t xml:space="preserve">We are committed to working with, representing, advocating </w:t>
      </w:r>
      <w:proofErr w:type="gramStart"/>
      <w:r w:rsidRPr="003B60D5">
        <w:rPr>
          <w:szCs w:val="20"/>
        </w:rPr>
        <w:t>for</w:t>
      </w:r>
      <w:proofErr w:type="gramEnd"/>
      <w:r w:rsidRPr="003B60D5">
        <w:rPr>
          <w:szCs w:val="20"/>
        </w:rPr>
        <w:t xml:space="preserve"> and promoting the needs of Aboriginal and Torres Strait Islander Queenslanders with unwavering determination, passion and persistence.</w:t>
      </w:r>
    </w:p>
    <w:p w14:paraId="2B1708D9" w14:textId="77777777" w:rsidR="00F15136" w:rsidRDefault="00AE3F0F" w:rsidP="00FC7053">
      <w:pPr>
        <w:rPr>
          <w:szCs w:val="20"/>
        </w:rPr>
      </w:pPr>
      <w:r w:rsidRPr="003B60D5">
        <w:rPr>
          <w:szCs w:val="20"/>
        </w:rPr>
        <w:t>As we reflect on the past and give hope for the future, we walk together on our shared journey of reconciliation where all Queenslanders are equal and the diversity of Aboriginal and Torres Strait Islander cultures and communities across Queensland are fully recognised, respected, and valued by all Queenslanders.</w:t>
      </w:r>
    </w:p>
    <w:p w14:paraId="3893BBBA" w14:textId="0BB1B1FD" w:rsidR="003C4620" w:rsidRDefault="003C4620">
      <w:pPr>
        <w:rPr>
          <w:szCs w:val="20"/>
        </w:rPr>
      </w:pPr>
      <w:r>
        <w:rPr>
          <w:szCs w:val="20"/>
        </w:rPr>
        <w:br w:type="page"/>
      </w:r>
    </w:p>
    <w:p w14:paraId="3B05FEB1" w14:textId="77777777" w:rsidR="00DB223A" w:rsidRDefault="00DB223A" w:rsidP="00FC7053">
      <w:pPr>
        <w:rPr>
          <w:szCs w:val="20"/>
        </w:rPr>
        <w:sectPr w:rsidR="00DB223A" w:rsidSect="003A1621">
          <w:type w:val="continuous"/>
          <w:pgSz w:w="11906" w:h="16838"/>
          <w:pgMar w:top="1440" w:right="1134" w:bottom="425" w:left="1134" w:header="708" w:footer="369" w:gutter="0"/>
          <w:pgNumType w:fmt="lowerRoman" w:start="1"/>
          <w:cols w:num="2" w:space="567"/>
          <w:docGrid w:linePitch="360"/>
        </w:sectPr>
      </w:pPr>
    </w:p>
    <w:p w14:paraId="4DA90410" w14:textId="3DF89621" w:rsidR="00F919CD" w:rsidRPr="00DB3E11" w:rsidRDefault="00FC7053" w:rsidP="00DB3E11">
      <w:pPr>
        <w:pStyle w:val="PSCHeading1"/>
        <w:rPr>
          <w:noProof/>
          <w:sz w:val="36"/>
          <w:szCs w:val="36"/>
        </w:rPr>
      </w:pPr>
      <w:bookmarkStart w:id="26" w:name="_Toc79493341"/>
      <w:bookmarkStart w:id="27" w:name="_Toc1905644577"/>
      <w:bookmarkStart w:id="28" w:name="_Toc113459874"/>
      <w:bookmarkStart w:id="29" w:name="_Toc141342840"/>
      <w:bookmarkStart w:id="30" w:name="_Toc141781778"/>
      <w:bookmarkStart w:id="31" w:name="_Toc141781940"/>
      <w:bookmarkStart w:id="32" w:name="_Toc142639700"/>
      <w:bookmarkStart w:id="33" w:name="_Toc144285949"/>
      <w:bookmarkStart w:id="34" w:name="_Toc145672655"/>
      <w:bookmarkStart w:id="35" w:name="_Toc145673055"/>
      <w:bookmarkStart w:id="36" w:name="_Toc145926885"/>
      <w:r w:rsidRPr="00F36904">
        <w:rPr>
          <w:sz w:val="36"/>
          <w:szCs w:val="36"/>
        </w:rPr>
        <w:lastRenderedPageBreak/>
        <w:t>Contents</w:t>
      </w:r>
      <w:bookmarkEnd w:id="26"/>
      <w:bookmarkEnd w:id="27"/>
      <w:bookmarkEnd w:id="28"/>
      <w:bookmarkEnd w:id="29"/>
      <w:bookmarkEnd w:id="30"/>
      <w:bookmarkEnd w:id="31"/>
      <w:bookmarkEnd w:id="32"/>
      <w:bookmarkEnd w:id="33"/>
      <w:bookmarkEnd w:id="34"/>
      <w:bookmarkEnd w:id="35"/>
      <w:bookmarkEnd w:id="36"/>
      <w:r w:rsidR="00B53A1A">
        <w:fldChar w:fldCharType="begin"/>
      </w:r>
      <w:r w:rsidR="00B53A1A">
        <w:instrText xml:space="preserve"> TOC \o "1-3" \h \z \u </w:instrText>
      </w:r>
      <w:r w:rsidR="00B53A1A">
        <w:fldChar w:fldCharType="separate"/>
      </w:r>
    </w:p>
    <w:p w14:paraId="5735A418" w14:textId="16F003BA" w:rsidR="00F919CD" w:rsidRDefault="003B4964">
      <w:pPr>
        <w:pStyle w:val="TOC1"/>
        <w:rPr>
          <w:rFonts w:asciiTheme="minorHAnsi" w:hAnsiTheme="minorHAnsi"/>
          <w:b w:val="0"/>
          <w:noProof/>
          <w:kern w:val="2"/>
          <w:sz w:val="22"/>
          <w:szCs w:val="22"/>
          <w:lang w:eastAsia="en-AU"/>
          <w14:ligatures w14:val="standardContextual"/>
        </w:rPr>
      </w:pPr>
      <w:hyperlink w:anchor="_Toc145926886" w:history="1">
        <w:r w:rsidR="00F919CD" w:rsidRPr="00845BB4">
          <w:rPr>
            <w:rStyle w:val="Hyperlink"/>
            <w:noProof/>
          </w:rPr>
          <w:t>Letter of compliance</w:t>
        </w:r>
        <w:r w:rsidR="00F919CD" w:rsidRPr="00845BB4">
          <w:rPr>
            <w:noProof/>
            <w:webHidden/>
          </w:rPr>
          <w:tab/>
        </w:r>
        <w:r w:rsidR="00F919CD" w:rsidRPr="00845BB4">
          <w:rPr>
            <w:noProof/>
            <w:webHidden/>
          </w:rPr>
          <w:fldChar w:fldCharType="begin"/>
        </w:r>
        <w:r w:rsidR="00F919CD" w:rsidRPr="00845BB4">
          <w:rPr>
            <w:noProof/>
            <w:webHidden/>
          </w:rPr>
          <w:instrText xml:space="preserve"> PAGEREF _Toc145926886 \h </w:instrText>
        </w:r>
        <w:r w:rsidR="00F919CD" w:rsidRPr="00845BB4">
          <w:rPr>
            <w:noProof/>
            <w:webHidden/>
          </w:rPr>
        </w:r>
        <w:r w:rsidR="00F919CD" w:rsidRPr="00845BB4">
          <w:rPr>
            <w:noProof/>
            <w:webHidden/>
          </w:rPr>
          <w:fldChar w:fldCharType="separate"/>
        </w:r>
        <w:r w:rsidR="00733B15">
          <w:rPr>
            <w:noProof/>
            <w:webHidden/>
          </w:rPr>
          <w:t>1</w:t>
        </w:r>
        <w:r w:rsidR="00F919CD" w:rsidRPr="00845BB4">
          <w:rPr>
            <w:noProof/>
            <w:webHidden/>
          </w:rPr>
          <w:fldChar w:fldCharType="end"/>
        </w:r>
      </w:hyperlink>
    </w:p>
    <w:p w14:paraId="3FE50270" w14:textId="2924C8A4" w:rsidR="00F919CD" w:rsidRDefault="003B4964">
      <w:pPr>
        <w:pStyle w:val="TOC1"/>
        <w:rPr>
          <w:rFonts w:asciiTheme="minorHAnsi" w:hAnsiTheme="minorHAnsi"/>
          <w:b w:val="0"/>
          <w:noProof/>
          <w:kern w:val="2"/>
          <w:sz w:val="22"/>
          <w:szCs w:val="22"/>
          <w:lang w:eastAsia="en-AU"/>
          <w14:ligatures w14:val="standardContextual"/>
        </w:rPr>
      </w:pPr>
      <w:hyperlink w:anchor="_Toc145926887" w:history="1">
        <w:r w:rsidR="00F919CD" w:rsidRPr="00EC243E">
          <w:rPr>
            <w:rStyle w:val="Hyperlink"/>
            <w:noProof/>
          </w:rPr>
          <w:t>Chairperson’s message</w:t>
        </w:r>
        <w:r w:rsidR="00F919CD">
          <w:rPr>
            <w:noProof/>
            <w:webHidden/>
          </w:rPr>
          <w:tab/>
        </w:r>
        <w:r w:rsidR="00F919CD">
          <w:rPr>
            <w:noProof/>
            <w:webHidden/>
          </w:rPr>
          <w:fldChar w:fldCharType="begin"/>
        </w:r>
        <w:r w:rsidR="00F919CD">
          <w:rPr>
            <w:noProof/>
            <w:webHidden/>
          </w:rPr>
          <w:instrText xml:space="preserve"> PAGEREF _Toc145926887 \h </w:instrText>
        </w:r>
        <w:r w:rsidR="00F919CD">
          <w:rPr>
            <w:noProof/>
            <w:webHidden/>
          </w:rPr>
        </w:r>
        <w:r w:rsidR="00F919CD">
          <w:rPr>
            <w:noProof/>
            <w:webHidden/>
          </w:rPr>
          <w:fldChar w:fldCharType="separate"/>
        </w:r>
        <w:r w:rsidR="00733B15">
          <w:rPr>
            <w:noProof/>
            <w:webHidden/>
          </w:rPr>
          <w:t>2</w:t>
        </w:r>
        <w:r w:rsidR="00F919CD">
          <w:rPr>
            <w:noProof/>
            <w:webHidden/>
          </w:rPr>
          <w:fldChar w:fldCharType="end"/>
        </w:r>
      </w:hyperlink>
    </w:p>
    <w:p w14:paraId="4F9B54BC" w14:textId="6D2832C2" w:rsidR="00F919CD" w:rsidRDefault="003B4964">
      <w:pPr>
        <w:pStyle w:val="TOC1"/>
        <w:rPr>
          <w:rFonts w:asciiTheme="minorHAnsi" w:hAnsiTheme="minorHAnsi"/>
          <w:b w:val="0"/>
          <w:noProof/>
          <w:kern w:val="2"/>
          <w:sz w:val="22"/>
          <w:szCs w:val="22"/>
          <w:lang w:eastAsia="en-AU"/>
          <w14:ligatures w14:val="standardContextual"/>
        </w:rPr>
      </w:pPr>
      <w:hyperlink w:anchor="_Toc145926888" w:history="1">
        <w:r w:rsidR="00F919CD" w:rsidRPr="00EC243E">
          <w:rPr>
            <w:rStyle w:val="Hyperlink"/>
            <w:noProof/>
          </w:rPr>
          <w:t>Public Sector Commissioner message</w:t>
        </w:r>
        <w:r w:rsidR="00F919CD">
          <w:rPr>
            <w:noProof/>
            <w:webHidden/>
          </w:rPr>
          <w:tab/>
        </w:r>
        <w:r w:rsidR="00F919CD">
          <w:rPr>
            <w:noProof/>
            <w:webHidden/>
          </w:rPr>
          <w:fldChar w:fldCharType="begin"/>
        </w:r>
        <w:r w:rsidR="00F919CD">
          <w:rPr>
            <w:noProof/>
            <w:webHidden/>
          </w:rPr>
          <w:instrText xml:space="preserve"> PAGEREF _Toc145926888 \h </w:instrText>
        </w:r>
        <w:r w:rsidR="00F919CD">
          <w:rPr>
            <w:noProof/>
            <w:webHidden/>
          </w:rPr>
        </w:r>
        <w:r w:rsidR="00F919CD">
          <w:rPr>
            <w:noProof/>
            <w:webHidden/>
          </w:rPr>
          <w:fldChar w:fldCharType="separate"/>
        </w:r>
        <w:r w:rsidR="00733B15">
          <w:rPr>
            <w:noProof/>
            <w:webHidden/>
          </w:rPr>
          <w:t>3</w:t>
        </w:r>
        <w:r w:rsidR="00F919CD">
          <w:rPr>
            <w:noProof/>
            <w:webHidden/>
          </w:rPr>
          <w:fldChar w:fldCharType="end"/>
        </w:r>
      </w:hyperlink>
    </w:p>
    <w:p w14:paraId="150E862B" w14:textId="5F455ECE" w:rsidR="00F919CD" w:rsidRDefault="003B4964">
      <w:pPr>
        <w:pStyle w:val="TOC1"/>
        <w:rPr>
          <w:rFonts w:asciiTheme="minorHAnsi" w:hAnsiTheme="minorHAnsi"/>
          <w:b w:val="0"/>
          <w:noProof/>
          <w:kern w:val="2"/>
          <w:sz w:val="22"/>
          <w:szCs w:val="22"/>
          <w:lang w:eastAsia="en-AU"/>
          <w14:ligatures w14:val="standardContextual"/>
        </w:rPr>
      </w:pPr>
      <w:hyperlink w:anchor="_Toc145926889" w:history="1">
        <w:r w:rsidR="00F919CD" w:rsidRPr="00EC243E">
          <w:rPr>
            <w:rStyle w:val="Hyperlink"/>
            <w:noProof/>
          </w:rPr>
          <w:t>About us</w:t>
        </w:r>
        <w:r w:rsidR="00F919CD">
          <w:rPr>
            <w:noProof/>
            <w:webHidden/>
          </w:rPr>
          <w:tab/>
        </w:r>
        <w:r w:rsidR="00F919CD">
          <w:rPr>
            <w:noProof/>
            <w:webHidden/>
          </w:rPr>
          <w:fldChar w:fldCharType="begin"/>
        </w:r>
        <w:r w:rsidR="00F919CD">
          <w:rPr>
            <w:noProof/>
            <w:webHidden/>
          </w:rPr>
          <w:instrText xml:space="preserve"> PAGEREF _Toc145926889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693DD93D" w14:textId="4A768ED4" w:rsidR="00F919CD" w:rsidRDefault="003B4964">
      <w:pPr>
        <w:pStyle w:val="TOC2"/>
        <w:rPr>
          <w:rFonts w:asciiTheme="minorHAnsi" w:hAnsiTheme="minorHAnsi"/>
          <w:noProof/>
          <w:kern w:val="2"/>
          <w:sz w:val="22"/>
          <w:szCs w:val="22"/>
          <w:lang w:eastAsia="en-AU"/>
          <w14:ligatures w14:val="standardContextual"/>
        </w:rPr>
      </w:pPr>
      <w:hyperlink w:anchor="_Toc145926890" w:history="1">
        <w:r w:rsidR="00F919CD" w:rsidRPr="00EC243E">
          <w:rPr>
            <w:rStyle w:val="Hyperlink"/>
            <w:noProof/>
          </w:rPr>
          <w:t>Our Strategic Plan 2022–26</w:t>
        </w:r>
        <w:r w:rsidR="00F919CD">
          <w:rPr>
            <w:noProof/>
            <w:webHidden/>
          </w:rPr>
          <w:tab/>
        </w:r>
        <w:r w:rsidR="00F919CD">
          <w:rPr>
            <w:noProof/>
            <w:webHidden/>
          </w:rPr>
          <w:fldChar w:fldCharType="begin"/>
        </w:r>
        <w:r w:rsidR="00F919CD">
          <w:rPr>
            <w:noProof/>
            <w:webHidden/>
          </w:rPr>
          <w:instrText xml:space="preserve"> PAGEREF _Toc145926890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04C3ED27" w14:textId="36443A45" w:rsidR="00F919CD" w:rsidRDefault="003B4964">
      <w:pPr>
        <w:pStyle w:val="TOC2"/>
        <w:rPr>
          <w:rFonts w:asciiTheme="minorHAnsi" w:hAnsiTheme="minorHAnsi"/>
          <w:noProof/>
          <w:kern w:val="2"/>
          <w:sz w:val="22"/>
          <w:szCs w:val="22"/>
          <w:lang w:eastAsia="en-AU"/>
          <w14:ligatures w14:val="standardContextual"/>
        </w:rPr>
      </w:pPr>
      <w:hyperlink w:anchor="_Toc145926891" w:history="1">
        <w:r w:rsidR="00F919CD" w:rsidRPr="00EC243E">
          <w:rPr>
            <w:rStyle w:val="Hyperlink"/>
            <w:noProof/>
          </w:rPr>
          <w:t>Our purpose</w:t>
        </w:r>
        <w:r w:rsidR="00F919CD">
          <w:rPr>
            <w:noProof/>
            <w:webHidden/>
          </w:rPr>
          <w:tab/>
        </w:r>
        <w:r w:rsidR="00F919CD">
          <w:rPr>
            <w:noProof/>
            <w:webHidden/>
          </w:rPr>
          <w:fldChar w:fldCharType="begin"/>
        </w:r>
        <w:r w:rsidR="00F919CD">
          <w:rPr>
            <w:noProof/>
            <w:webHidden/>
          </w:rPr>
          <w:instrText xml:space="preserve"> PAGEREF _Toc145926891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6B6DAB89" w14:textId="171338D8" w:rsidR="00F919CD" w:rsidRDefault="003B4964">
      <w:pPr>
        <w:pStyle w:val="TOC2"/>
        <w:rPr>
          <w:rFonts w:asciiTheme="minorHAnsi" w:hAnsiTheme="minorHAnsi"/>
          <w:noProof/>
          <w:kern w:val="2"/>
          <w:sz w:val="22"/>
          <w:szCs w:val="22"/>
          <w:lang w:eastAsia="en-AU"/>
          <w14:ligatures w14:val="standardContextual"/>
        </w:rPr>
      </w:pPr>
      <w:hyperlink w:anchor="_Toc145926892" w:history="1">
        <w:r w:rsidR="00F919CD" w:rsidRPr="00EC243E">
          <w:rPr>
            <w:rStyle w:val="Hyperlink"/>
            <w:noProof/>
          </w:rPr>
          <w:t>Our objectives</w:t>
        </w:r>
        <w:r w:rsidR="00F919CD">
          <w:rPr>
            <w:noProof/>
            <w:webHidden/>
          </w:rPr>
          <w:tab/>
        </w:r>
        <w:r w:rsidR="00F919CD">
          <w:rPr>
            <w:noProof/>
            <w:webHidden/>
          </w:rPr>
          <w:fldChar w:fldCharType="begin"/>
        </w:r>
        <w:r w:rsidR="00F919CD">
          <w:rPr>
            <w:noProof/>
            <w:webHidden/>
          </w:rPr>
          <w:instrText xml:space="preserve"> PAGEREF _Toc145926892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695A93B7" w14:textId="226F0AB6" w:rsidR="00F919CD" w:rsidRDefault="003B4964">
      <w:pPr>
        <w:pStyle w:val="TOC2"/>
        <w:rPr>
          <w:rFonts w:asciiTheme="minorHAnsi" w:hAnsiTheme="minorHAnsi"/>
          <w:noProof/>
          <w:kern w:val="2"/>
          <w:sz w:val="22"/>
          <w:szCs w:val="22"/>
          <w:lang w:eastAsia="en-AU"/>
          <w14:ligatures w14:val="standardContextual"/>
        </w:rPr>
      </w:pPr>
      <w:hyperlink w:anchor="_Toc145926893" w:history="1">
        <w:r w:rsidR="00F919CD" w:rsidRPr="00EC243E">
          <w:rPr>
            <w:rStyle w:val="Hyperlink"/>
            <w:noProof/>
          </w:rPr>
          <w:t>Our responsibilities</w:t>
        </w:r>
        <w:r w:rsidR="00F919CD">
          <w:rPr>
            <w:noProof/>
            <w:webHidden/>
          </w:rPr>
          <w:tab/>
        </w:r>
        <w:r w:rsidR="00F919CD">
          <w:rPr>
            <w:noProof/>
            <w:webHidden/>
          </w:rPr>
          <w:fldChar w:fldCharType="begin"/>
        </w:r>
        <w:r w:rsidR="00F919CD">
          <w:rPr>
            <w:noProof/>
            <w:webHidden/>
          </w:rPr>
          <w:instrText xml:space="preserve"> PAGEREF _Toc145926893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52E1B184" w14:textId="448D212F" w:rsidR="00F919CD" w:rsidRDefault="003B4964">
      <w:pPr>
        <w:pStyle w:val="TOC2"/>
        <w:rPr>
          <w:rFonts w:asciiTheme="minorHAnsi" w:hAnsiTheme="minorHAnsi"/>
          <w:noProof/>
          <w:kern w:val="2"/>
          <w:sz w:val="22"/>
          <w:szCs w:val="22"/>
          <w:lang w:eastAsia="en-AU"/>
          <w14:ligatures w14:val="standardContextual"/>
        </w:rPr>
      </w:pPr>
      <w:hyperlink w:anchor="_Toc145926894" w:history="1">
        <w:r w:rsidR="00F919CD" w:rsidRPr="00EC243E">
          <w:rPr>
            <w:rStyle w:val="Hyperlink"/>
            <w:noProof/>
          </w:rPr>
          <w:t>Values</w:t>
        </w:r>
        <w:r w:rsidR="00F919CD">
          <w:rPr>
            <w:noProof/>
            <w:webHidden/>
          </w:rPr>
          <w:tab/>
        </w:r>
        <w:r w:rsidR="00F919CD">
          <w:rPr>
            <w:noProof/>
            <w:webHidden/>
          </w:rPr>
          <w:fldChar w:fldCharType="begin"/>
        </w:r>
        <w:r w:rsidR="00F919CD">
          <w:rPr>
            <w:noProof/>
            <w:webHidden/>
          </w:rPr>
          <w:instrText xml:space="preserve"> PAGEREF _Toc145926894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3763ED38" w14:textId="14837045" w:rsidR="00F919CD" w:rsidRDefault="003B4964">
      <w:pPr>
        <w:pStyle w:val="TOC2"/>
        <w:rPr>
          <w:rFonts w:asciiTheme="minorHAnsi" w:hAnsiTheme="minorHAnsi"/>
          <w:noProof/>
          <w:kern w:val="2"/>
          <w:sz w:val="22"/>
          <w:szCs w:val="22"/>
          <w:lang w:eastAsia="en-AU"/>
          <w14:ligatures w14:val="standardContextual"/>
        </w:rPr>
      </w:pPr>
      <w:hyperlink w:anchor="_Toc145926895" w:history="1">
        <w:r w:rsidR="00F919CD" w:rsidRPr="00EC243E">
          <w:rPr>
            <w:rStyle w:val="Hyperlink"/>
            <w:noProof/>
          </w:rPr>
          <w:t>Workforce reporting</w:t>
        </w:r>
        <w:r w:rsidR="00F919CD">
          <w:rPr>
            <w:noProof/>
            <w:webHidden/>
          </w:rPr>
          <w:tab/>
        </w:r>
        <w:r w:rsidR="00F919CD">
          <w:rPr>
            <w:noProof/>
            <w:webHidden/>
          </w:rPr>
          <w:fldChar w:fldCharType="begin"/>
        </w:r>
        <w:r w:rsidR="00F919CD">
          <w:rPr>
            <w:noProof/>
            <w:webHidden/>
          </w:rPr>
          <w:instrText xml:space="preserve"> PAGEREF _Toc145926895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0F905623" w14:textId="71AAFB98" w:rsidR="00F919CD" w:rsidRDefault="003B4964">
      <w:pPr>
        <w:pStyle w:val="TOC2"/>
        <w:rPr>
          <w:rFonts w:asciiTheme="minorHAnsi" w:hAnsiTheme="minorHAnsi"/>
          <w:noProof/>
          <w:kern w:val="2"/>
          <w:sz w:val="22"/>
          <w:szCs w:val="22"/>
          <w:lang w:eastAsia="en-AU"/>
          <w14:ligatures w14:val="standardContextual"/>
        </w:rPr>
      </w:pPr>
      <w:hyperlink w:anchor="_Toc145926896" w:history="1">
        <w:r w:rsidR="00F919CD" w:rsidRPr="00EC243E">
          <w:rPr>
            <w:rStyle w:val="Hyperlink"/>
            <w:noProof/>
          </w:rPr>
          <w:t>More information</w:t>
        </w:r>
        <w:r w:rsidR="00F919CD">
          <w:rPr>
            <w:noProof/>
            <w:webHidden/>
          </w:rPr>
          <w:tab/>
        </w:r>
        <w:r w:rsidR="00F919CD">
          <w:rPr>
            <w:noProof/>
            <w:webHidden/>
          </w:rPr>
          <w:fldChar w:fldCharType="begin"/>
        </w:r>
        <w:r w:rsidR="00F919CD">
          <w:rPr>
            <w:noProof/>
            <w:webHidden/>
          </w:rPr>
          <w:instrText xml:space="preserve"> PAGEREF _Toc145926896 \h </w:instrText>
        </w:r>
        <w:r w:rsidR="00F919CD">
          <w:rPr>
            <w:noProof/>
            <w:webHidden/>
          </w:rPr>
        </w:r>
        <w:r w:rsidR="00F919CD">
          <w:rPr>
            <w:noProof/>
            <w:webHidden/>
          </w:rPr>
          <w:fldChar w:fldCharType="separate"/>
        </w:r>
        <w:r w:rsidR="00733B15">
          <w:rPr>
            <w:noProof/>
            <w:webHidden/>
          </w:rPr>
          <w:t>4</w:t>
        </w:r>
        <w:r w:rsidR="00F919CD">
          <w:rPr>
            <w:noProof/>
            <w:webHidden/>
          </w:rPr>
          <w:fldChar w:fldCharType="end"/>
        </w:r>
      </w:hyperlink>
    </w:p>
    <w:p w14:paraId="2F45398F" w14:textId="67AC5251" w:rsidR="00F919CD" w:rsidRDefault="003B4964">
      <w:pPr>
        <w:pStyle w:val="TOC1"/>
        <w:rPr>
          <w:rFonts w:asciiTheme="minorHAnsi" w:hAnsiTheme="minorHAnsi"/>
          <w:b w:val="0"/>
          <w:noProof/>
          <w:kern w:val="2"/>
          <w:sz w:val="22"/>
          <w:szCs w:val="22"/>
          <w:lang w:eastAsia="en-AU"/>
          <w14:ligatures w14:val="standardContextual"/>
        </w:rPr>
      </w:pPr>
      <w:hyperlink w:anchor="_Toc145926897" w:history="1">
        <w:r w:rsidR="00F919CD" w:rsidRPr="00EC243E">
          <w:rPr>
            <w:rStyle w:val="Hyperlink"/>
            <w:noProof/>
          </w:rPr>
          <w:t>Office of the Special Commissioner, Equity and Diversity</w:t>
        </w:r>
        <w:r w:rsidR="00F919CD">
          <w:rPr>
            <w:noProof/>
            <w:webHidden/>
          </w:rPr>
          <w:tab/>
        </w:r>
        <w:r w:rsidR="00F919CD">
          <w:rPr>
            <w:noProof/>
            <w:webHidden/>
          </w:rPr>
          <w:fldChar w:fldCharType="begin"/>
        </w:r>
        <w:r w:rsidR="00F919CD">
          <w:rPr>
            <w:noProof/>
            <w:webHidden/>
          </w:rPr>
          <w:instrText xml:space="preserve"> PAGEREF _Toc145926897 \h </w:instrText>
        </w:r>
        <w:r w:rsidR="00F919CD">
          <w:rPr>
            <w:noProof/>
            <w:webHidden/>
          </w:rPr>
        </w:r>
        <w:r w:rsidR="00F919CD">
          <w:rPr>
            <w:noProof/>
            <w:webHidden/>
          </w:rPr>
          <w:fldChar w:fldCharType="separate"/>
        </w:r>
        <w:r w:rsidR="00733B15">
          <w:rPr>
            <w:noProof/>
            <w:webHidden/>
          </w:rPr>
          <w:t>5</w:t>
        </w:r>
        <w:r w:rsidR="00F919CD">
          <w:rPr>
            <w:noProof/>
            <w:webHidden/>
          </w:rPr>
          <w:fldChar w:fldCharType="end"/>
        </w:r>
      </w:hyperlink>
    </w:p>
    <w:p w14:paraId="0DBDE94F" w14:textId="1A26EFCD" w:rsidR="00F919CD" w:rsidRDefault="003B4964">
      <w:pPr>
        <w:pStyle w:val="TOC2"/>
        <w:rPr>
          <w:rFonts w:asciiTheme="minorHAnsi" w:hAnsiTheme="minorHAnsi"/>
          <w:noProof/>
          <w:kern w:val="2"/>
          <w:sz w:val="22"/>
          <w:szCs w:val="22"/>
          <w:lang w:eastAsia="en-AU"/>
          <w14:ligatures w14:val="standardContextual"/>
        </w:rPr>
      </w:pPr>
      <w:hyperlink w:anchor="_Toc145926898" w:history="1">
        <w:r w:rsidR="00F919CD" w:rsidRPr="00EC243E">
          <w:rPr>
            <w:rStyle w:val="Hyperlink"/>
            <w:noProof/>
            <w:lang w:val="en-US"/>
          </w:rPr>
          <w:t>Key outcomes</w:t>
        </w:r>
        <w:r w:rsidR="00F919CD">
          <w:rPr>
            <w:noProof/>
            <w:webHidden/>
          </w:rPr>
          <w:tab/>
        </w:r>
        <w:r w:rsidR="00F919CD">
          <w:rPr>
            <w:noProof/>
            <w:webHidden/>
          </w:rPr>
          <w:fldChar w:fldCharType="begin"/>
        </w:r>
        <w:r w:rsidR="00F919CD">
          <w:rPr>
            <w:noProof/>
            <w:webHidden/>
          </w:rPr>
          <w:instrText xml:space="preserve"> PAGEREF _Toc145926898 \h </w:instrText>
        </w:r>
        <w:r w:rsidR="00F919CD">
          <w:rPr>
            <w:noProof/>
            <w:webHidden/>
          </w:rPr>
        </w:r>
        <w:r w:rsidR="00F919CD">
          <w:rPr>
            <w:noProof/>
            <w:webHidden/>
          </w:rPr>
          <w:fldChar w:fldCharType="separate"/>
        </w:r>
        <w:r w:rsidR="00733B15">
          <w:rPr>
            <w:noProof/>
            <w:webHidden/>
          </w:rPr>
          <w:t>5</w:t>
        </w:r>
        <w:r w:rsidR="00F919CD">
          <w:rPr>
            <w:noProof/>
            <w:webHidden/>
          </w:rPr>
          <w:fldChar w:fldCharType="end"/>
        </w:r>
      </w:hyperlink>
    </w:p>
    <w:p w14:paraId="49AC44AE" w14:textId="45FE48C3" w:rsidR="00F919CD" w:rsidRDefault="003B4964">
      <w:pPr>
        <w:pStyle w:val="TOC1"/>
        <w:rPr>
          <w:rFonts w:asciiTheme="minorHAnsi" w:hAnsiTheme="minorHAnsi"/>
          <w:b w:val="0"/>
          <w:noProof/>
          <w:kern w:val="2"/>
          <w:sz w:val="22"/>
          <w:szCs w:val="22"/>
          <w:lang w:eastAsia="en-AU"/>
          <w14:ligatures w14:val="standardContextual"/>
        </w:rPr>
      </w:pPr>
      <w:hyperlink w:anchor="_Toc145926899" w:history="1">
        <w:r w:rsidR="00F919CD" w:rsidRPr="00EC243E">
          <w:rPr>
            <w:rStyle w:val="Hyperlink"/>
            <w:noProof/>
          </w:rPr>
          <w:t>Financial summary</w:t>
        </w:r>
        <w:r w:rsidR="00F919CD">
          <w:rPr>
            <w:noProof/>
            <w:webHidden/>
          </w:rPr>
          <w:tab/>
        </w:r>
        <w:r w:rsidR="00F919CD">
          <w:rPr>
            <w:noProof/>
            <w:webHidden/>
          </w:rPr>
          <w:fldChar w:fldCharType="begin"/>
        </w:r>
        <w:r w:rsidR="00F919CD">
          <w:rPr>
            <w:noProof/>
            <w:webHidden/>
          </w:rPr>
          <w:instrText xml:space="preserve"> PAGEREF _Toc145926899 \h </w:instrText>
        </w:r>
        <w:r w:rsidR="00F919CD">
          <w:rPr>
            <w:noProof/>
            <w:webHidden/>
          </w:rPr>
        </w:r>
        <w:r w:rsidR="00F919CD">
          <w:rPr>
            <w:noProof/>
            <w:webHidden/>
          </w:rPr>
          <w:fldChar w:fldCharType="separate"/>
        </w:r>
        <w:r w:rsidR="00733B15">
          <w:rPr>
            <w:noProof/>
            <w:webHidden/>
          </w:rPr>
          <w:t>6</w:t>
        </w:r>
        <w:r w:rsidR="00F919CD">
          <w:rPr>
            <w:noProof/>
            <w:webHidden/>
          </w:rPr>
          <w:fldChar w:fldCharType="end"/>
        </w:r>
      </w:hyperlink>
    </w:p>
    <w:p w14:paraId="70D39DE6" w14:textId="5DED3B1E" w:rsidR="00F919CD" w:rsidRDefault="003B4964">
      <w:pPr>
        <w:pStyle w:val="TOC2"/>
        <w:rPr>
          <w:rFonts w:asciiTheme="minorHAnsi" w:hAnsiTheme="minorHAnsi"/>
          <w:noProof/>
          <w:kern w:val="2"/>
          <w:sz w:val="22"/>
          <w:szCs w:val="22"/>
          <w:lang w:eastAsia="en-AU"/>
          <w14:ligatures w14:val="standardContextual"/>
        </w:rPr>
      </w:pPr>
      <w:hyperlink w:anchor="_Toc145926900" w:history="1">
        <w:r w:rsidR="00F919CD" w:rsidRPr="00EC243E">
          <w:rPr>
            <w:rStyle w:val="Hyperlink"/>
            <w:noProof/>
          </w:rPr>
          <w:t>Revenue</w:t>
        </w:r>
        <w:r w:rsidR="00F919CD">
          <w:rPr>
            <w:noProof/>
            <w:webHidden/>
          </w:rPr>
          <w:tab/>
        </w:r>
        <w:r w:rsidR="00F919CD">
          <w:rPr>
            <w:noProof/>
            <w:webHidden/>
          </w:rPr>
          <w:fldChar w:fldCharType="begin"/>
        </w:r>
        <w:r w:rsidR="00F919CD">
          <w:rPr>
            <w:noProof/>
            <w:webHidden/>
          </w:rPr>
          <w:instrText xml:space="preserve"> PAGEREF _Toc145926900 \h </w:instrText>
        </w:r>
        <w:r w:rsidR="00F919CD">
          <w:rPr>
            <w:noProof/>
            <w:webHidden/>
          </w:rPr>
        </w:r>
        <w:r w:rsidR="00F919CD">
          <w:rPr>
            <w:noProof/>
            <w:webHidden/>
          </w:rPr>
          <w:fldChar w:fldCharType="separate"/>
        </w:r>
        <w:r w:rsidR="00733B15">
          <w:rPr>
            <w:noProof/>
            <w:webHidden/>
          </w:rPr>
          <w:t>6</w:t>
        </w:r>
        <w:r w:rsidR="00F919CD">
          <w:rPr>
            <w:noProof/>
            <w:webHidden/>
          </w:rPr>
          <w:fldChar w:fldCharType="end"/>
        </w:r>
      </w:hyperlink>
    </w:p>
    <w:p w14:paraId="015D86D5" w14:textId="615E28ED" w:rsidR="00F919CD" w:rsidRDefault="003B4964">
      <w:pPr>
        <w:pStyle w:val="TOC2"/>
        <w:rPr>
          <w:rFonts w:asciiTheme="minorHAnsi" w:hAnsiTheme="minorHAnsi"/>
          <w:noProof/>
          <w:kern w:val="2"/>
          <w:sz w:val="22"/>
          <w:szCs w:val="22"/>
          <w:lang w:eastAsia="en-AU"/>
          <w14:ligatures w14:val="standardContextual"/>
        </w:rPr>
      </w:pPr>
      <w:hyperlink w:anchor="_Toc145926901" w:history="1">
        <w:r w:rsidR="00F919CD" w:rsidRPr="00EC243E">
          <w:rPr>
            <w:rStyle w:val="Hyperlink"/>
            <w:noProof/>
          </w:rPr>
          <w:t>Expenditure</w:t>
        </w:r>
        <w:r w:rsidR="00F919CD">
          <w:rPr>
            <w:noProof/>
            <w:webHidden/>
          </w:rPr>
          <w:tab/>
        </w:r>
        <w:r w:rsidR="00F919CD">
          <w:rPr>
            <w:noProof/>
            <w:webHidden/>
          </w:rPr>
          <w:fldChar w:fldCharType="begin"/>
        </w:r>
        <w:r w:rsidR="00F919CD">
          <w:rPr>
            <w:noProof/>
            <w:webHidden/>
          </w:rPr>
          <w:instrText xml:space="preserve"> PAGEREF _Toc145926901 \h </w:instrText>
        </w:r>
        <w:r w:rsidR="00F919CD">
          <w:rPr>
            <w:noProof/>
            <w:webHidden/>
          </w:rPr>
        </w:r>
        <w:r w:rsidR="00F919CD">
          <w:rPr>
            <w:noProof/>
            <w:webHidden/>
          </w:rPr>
          <w:fldChar w:fldCharType="separate"/>
        </w:r>
        <w:r w:rsidR="00733B15">
          <w:rPr>
            <w:noProof/>
            <w:webHidden/>
          </w:rPr>
          <w:t>7</w:t>
        </w:r>
        <w:r w:rsidR="00F919CD">
          <w:rPr>
            <w:noProof/>
            <w:webHidden/>
          </w:rPr>
          <w:fldChar w:fldCharType="end"/>
        </w:r>
      </w:hyperlink>
    </w:p>
    <w:p w14:paraId="7C0A39AB" w14:textId="77F7CC59" w:rsidR="00F919CD" w:rsidRDefault="003B4964">
      <w:pPr>
        <w:pStyle w:val="TOC2"/>
        <w:rPr>
          <w:rFonts w:asciiTheme="minorHAnsi" w:hAnsiTheme="minorHAnsi"/>
          <w:noProof/>
          <w:kern w:val="2"/>
          <w:sz w:val="22"/>
          <w:szCs w:val="22"/>
          <w:lang w:eastAsia="en-AU"/>
          <w14:ligatures w14:val="standardContextual"/>
        </w:rPr>
      </w:pPr>
      <w:hyperlink w:anchor="_Toc145926902" w:history="1">
        <w:r w:rsidR="00F919CD" w:rsidRPr="00EC243E">
          <w:rPr>
            <w:rStyle w:val="Hyperlink"/>
            <w:noProof/>
            <w:lang w:val="en-US"/>
          </w:rPr>
          <w:t>Financial position</w:t>
        </w:r>
        <w:r w:rsidR="00F919CD">
          <w:rPr>
            <w:noProof/>
            <w:webHidden/>
          </w:rPr>
          <w:tab/>
        </w:r>
        <w:r w:rsidR="00F919CD">
          <w:rPr>
            <w:noProof/>
            <w:webHidden/>
          </w:rPr>
          <w:fldChar w:fldCharType="begin"/>
        </w:r>
        <w:r w:rsidR="00F919CD">
          <w:rPr>
            <w:noProof/>
            <w:webHidden/>
          </w:rPr>
          <w:instrText xml:space="preserve"> PAGEREF _Toc145926902 \h </w:instrText>
        </w:r>
        <w:r w:rsidR="00F919CD">
          <w:rPr>
            <w:noProof/>
            <w:webHidden/>
          </w:rPr>
        </w:r>
        <w:r w:rsidR="00F919CD">
          <w:rPr>
            <w:noProof/>
            <w:webHidden/>
          </w:rPr>
          <w:fldChar w:fldCharType="separate"/>
        </w:r>
        <w:r w:rsidR="00733B15">
          <w:rPr>
            <w:noProof/>
            <w:webHidden/>
          </w:rPr>
          <w:t>7</w:t>
        </w:r>
        <w:r w:rsidR="00F919CD">
          <w:rPr>
            <w:noProof/>
            <w:webHidden/>
          </w:rPr>
          <w:fldChar w:fldCharType="end"/>
        </w:r>
      </w:hyperlink>
    </w:p>
    <w:p w14:paraId="2F536057" w14:textId="5C2AA9C9" w:rsidR="00F919CD" w:rsidRDefault="003B4964">
      <w:pPr>
        <w:pStyle w:val="TOC2"/>
        <w:rPr>
          <w:rFonts w:asciiTheme="minorHAnsi" w:hAnsiTheme="minorHAnsi"/>
          <w:noProof/>
          <w:kern w:val="2"/>
          <w:sz w:val="22"/>
          <w:szCs w:val="22"/>
          <w:lang w:eastAsia="en-AU"/>
          <w14:ligatures w14:val="standardContextual"/>
        </w:rPr>
      </w:pPr>
      <w:hyperlink w:anchor="_Toc145926903" w:history="1">
        <w:r w:rsidR="00F919CD" w:rsidRPr="00EC243E">
          <w:rPr>
            <w:rStyle w:val="Hyperlink"/>
            <w:noProof/>
            <w:lang w:val="en-US"/>
          </w:rPr>
          <w:t>Chief Finance Officer Assurance</w:t>
        </w:r>
        <w:r w:rsidR="00F919CD">
          <w:rPr>
            <w:noProof/>
            <w:webHidden/>
          </w:rPr>
          <w:tab/>
        </w:r>
        <w:r w:rsidR="00F919CD">
          <w:rPr>
            <w:noProof/>
            <w:webHidden/>
          </w:rPr>
          <w:fldChar w:fldCharType="begin"/>
        </w:r>
        <w:r w:rsidR="00F919CD">
          <w:rPr>
            <w:noProof/>
            <w:webHidden/>
          </w:rPr>
          <w:instrText xml:space="preserve"> PAGEREF _Toc145926903 \h </w:instrText>
        </w:r>
        <w:r w:rsidR="00F919CD">
          <w:rPr>
            <w:noProof/>
            <w:webHidden/>
          </w:rPr>
        </w:r>
        <w:r w:rsidR="00F919CD">
          <w:rPr>
            <w:noProof/>
            <w:webHidden/>
          </w:rPr>
          <w:fldChar w:fldCharType="separate"/>
        </w:r>
        <w:r w:rsidR="00733B15">
          <w:rPr>
            <w:noProof/>
            <w:webHidden/>
          </w:rPr>
          <w:t>8</w:t>
        </w:r>
        <w:r w:rsidR="00F919CD">
          <w:rPr>
            <w:noProof/>
            <w:webHidden/>
          </w:rPr>
          <w:fldChar w:fldCharType="end"/>
        </w:r>
      </w:hyperlink>
    </w:p>
    <w:p w14:paraId="2CA3BB5B" w14:textId="666BB83B" w:rsidR="00F919CD" w:rsidRDefault="003B4964">
      <w:pPr>
        <w:pStyle w:val="TOC1"/>
        <w:rPr>
          <w:rFonts w:asciiTheme="minorHAnsi" w:hAnsiTheme="minorHAnsi"/>
          <w:b w:val="0"/>
          <w:noProof/>
          <w:kern w:val="2"/>
          <w:sz w:val="22"/>
          <w:szCs w:val="22"/>
          <w:lang w:eastAsia="en-AU"/>
          <w14:ligatures w14:val="standardContextual"/>
        </w:rPr>
      </w:pPr>
      <w:hyperlink w:anchor="_Toc145926904" w:history="1">
        <w:r w:rsidR="00F919CD" w:rsidRPr="00EC243E">
          <w:rPr>
            <w:rStyle w:val="Hyperlink"/>
            <w:noProof/>
          </w:rPr>
          <w:t>Performance</w:t>
        </w:r>
        <w:r w:rsidR="00F919CD">
          <w:rPr>
            <w:noProof/>
            <w:webHidden/>
          </w:rPr>
          <w:tab/>
        </w:r>
        <w:r w:rsidR="00F919CD">
          <w:rPr>
            <w:noProof/>
            <w:webHidden/>
          </w:rPr>
          <w:fldChar w:fldCharType="begin"/>
        </w:r>
        <w:r w:rsidR="00F919CD">
          <w:rPr>
            <w:noProof/>
            <w:webHidden/>
          </w:rPr>
          <w:instrText xml:space="preserve"> PAGEREF _Toc145926904 \h </w:instrText>
        </w:r>
        <w:r w:rsidR="00F919CD">
          <w:rPr>
            <w:noProof/>
            <w:webHidden/>
          </w:rPr>
        </w:r>
        <w:r w:rsidR="00F919CD">
          <w:rPr>
            <w:noProof/>
            <w:webHidden/>
          </w:rPr>
          <w:fldChar w:fldCharType="separate"/>
        </w:r>
        <w:r w:rsidR="00733B15">
          <w:rPr>
            <w:noProof/>
            <w:webHidden/>
          </w:rPr>
          <w:t>9</w:t>
        </w:r>
        <w:r w:rsidR="00F919CD">
          <w:rPr>
            <w:noProof/>
            <w:webHidden/>
          </w:rPr>
          <w:fldChar w:fldCharType="end"/>
        </w:r>
      </w:hyperlink>
    </w:p>
    <w:p w14:paraId="20574C0E" w14:textId="198FCF8A" w:rsidR="00F919CD" w:rsidRDefault="003B4964">
      <w:pPr>
        <w:pStyle w:val="TOC2"/>
        <w:rPr>
          <w:rFonts w:asciiTheme="minorHAnsi" w:hAnsiTheme="minorHAnsi"/>
          <w:noProof/>
          <w:kern w:val="2"/>
          <w:sz w:val="22"/>
          <w:szCs w:val="22"/>
          <w:lang w:eastAsia="en-AU"/>
          <w14:ligatures w14:val="standardContextual"/>
        </w:rPr>
      </w:pPr>
      <w:hyperlink w:anchor="_Toc145926905" w:history="1">
        <w:r w:rsidR="00F919CD" w:rsidRPr="00EC243E">
          <w:rPr>
            <w:rStyle w:val="Hyperlink"/>
            <w:noProof/>
          </w:rPr>
          <w:t>Government’s objectives for the community</w:t>
        </w:r>
        <w:r w:rsidR="00F919CD">
          <w:rPr>
            <w:noProof/>
            <w:webHidden/>
          </w:rPr>
          <w:tab/>
        </w:r>
        <w:r w:rsidR="00F919CD">
          <w:rPr>
            <w:noProof/>
            <w:webHidden/>
          </w:rPr>
          <w:fldChar w:fldCharType="begin"/>
        </w:r>
        <w:r w:rsidR="00F919CD">
          <w:rPr>
            <w:noProof/>
            <w:webHidden/>
          </w:rPr>
          <w:instrText xml:space="preserve"> PAGEREF _Toc145926905 \h </w:instrText>
        </w:r>
        <w:r w:rsidR="00F919CD">
          <w:rPr>
            <w:noProof/>
            <w:webHidden/>
          </w:rPr>
        </w:r>
        <w:r w:rsidR="00F919CD">
          <w:rPr>
            <w:noProof/>
            <w:webHidden/>
          </w:rPr>
          <w:fldChar w:fldCharType="separate"/>
        </w:r>
        <w:r w:rsidR="00733B15">
          <w:rPr>
            <w:noProof/>
            <w:webHidden/>
          </w:rPr>
          <w:t>9</w:t>
        </w:r>
        <w:r w:rsidR="00F919CD">
          <w:rPr>
            <w:noProof/>
            <w:webHidden/>
          </w:rPr>
          <w:fldChar w:fldCharType="end"/>
        </w:r>
      </w:hyperlink>
    </w:p>
    <w:p w14:paraId="500D7F30" w14:textId="1E4217B3" w:rsidR="00F919CD" w:rsidRDefault="003B4964">
      <w:pPr>
        <w:pStyle w:val="TOC2"/>
        <w:rPr>
          <w:rFonts w:asciiTheme="minorHAnsi" w:hAnsiTheme="minorHAnsi"/>
          <w:noProof/>
          <w:kern w:val="2"/>
          <w:sz w:val="22"/>
          <w:szCs w:val="22"/>
          <w:lang w:eastAsia="en-AU"/>
          <w14:ligatures w14:val="standardContextual"/>
        </w:rPr>
      </w:pPr>
      <w:hyperlink w:anchor="_Toc145926906" w:history="1">
        <w:r w:rsidR="00F919CD" w:rsidRPr="00EC243E">
          <w:rPr>
            <w:rStyle w:val="Hyperlink"/>
            <w:noProof/>
          </w:rPr>
          <w:t>Strategic objectives</w:t>
        </w:r>
        <w:r w:rsidR="00F919CD">
          <w:rPr>
            <w:noProof/>
            <w:webHidden/>
          </w:rPr>
          <w:tab/>
        </w:r>
        <w:r w:rsidR="00F919CD">
          <w:rPr>
            <w:noProof/>
            <w:webHidden/>
          </w:rPr>
          <w:fldChar w:fldCharType="begin"/>
        </w:r>
        <w:r w:rsidR="00F919CD">
          <w:rPr>
            <w:noProof/>
            <w:webHidden/>
          </w:rPr>
          <w:instrText xml:space="preserve"> PAGEREF _Toc145926906 \h </w:instrText>
        </w:r>
        <w:r w:rsidR="00F919CD">
          <w:rPr>
            <w:noProof/>
            <w:webHidden/>
          </w:rPr>
        </w:r>
        <w:r w:rsidR="00F919CD">
          <w:rPr>
            <w:noProof/>
            <w:webHidden/>
          </w:rPr>
          <w:fldChar w:fldCharType="separate"/>
        </w:r>
        <w:r w:rsidR="00733B15">
          <w:rPr>
            <w:noProof/>
            <w:webHidden/>
          </w:rPr>
          <w:t>9</w:t>
        </w:r>
        <w:r w:rsidR="00F919CD">
          <w:rPr>
            <w:noProof/>
            <w:webHidden/>
          </w:rPr>
          <w:fldChar w:fldCharType="end"/>
        </w:r>
      </w:hyperlink>
    </w:p>
    <w:p w14:paraId="30D546EE" w14:textId="3697085B" w:rsidR="00F919CD" w:rsidRDefault="003B4964">
      <w:pPr>
        <w:pStyle w:val="TOC1"/>
        <w:rPr>
          <w:rFonts w:asciiTheme="minorHAnsi" w:hAnsiTheme="minorHAnsi"/>
          <w:b w:val="0"/>
          <w:noProof/>
          <w:kern w:val="2"/>
          <w:sz w:val="22"/>
          <w:szCs w:val="22"/>
          <w:lang w:eastAsia="en-AU"/>
          <w14:ligatures w14:val="standardContextual"/>
        </w:rPr>
      </w:pPr>
      <w:hyperlink w:anchor="_Toc145926907" w:history="1">
        <w:r w:rsidR="00F919CD" w:rsidRPr="00EC243E">
          <w:rPr>
            <w:rStyle w:val="Hyperlink"/>
            <w:noProof/>
          </w:rPr>
          <w:t>Service delivery statements</w:t>
        </w:r>
        <w:r w:rsidR="00F919CD">
          <w:rPr>
            <w:noProof/>
            <w:webHidden/>
          </w:rPr>
          <w:tab/>
        </w:r>
        <w:r w:rsidR="00F919CD">
          <w:rPr>
            <w:noProof/>
            <w:webHidden/>
          </w:rPr>
          <w:fldChar w:fldCharType="begin"/>
        </w:r>
        <w:r w:rsidR="00F919CD">
          <w:rPr>
            <w:noProof/>
            <w:webHidden/>
          </w:rPr>
          <w:instrText xml:space="preserve"> PAGEREF _Toc145926907 \h </w:instrText>
        </w:r>
        <w:r w:rsidR="00F919CD">
          <w:rPr>
            <w:noProof/>
            <w:webHidden/>
          </w:rPr>
        </w:r>
        <w:r w:rsidR="00F919CD">
          <w:rPr>
            <w:noProof/>
            <w:webHidden/>
          </w:rPr>
          <w:fldChar w:fldCharType="separate"/>
        </w:r>
        <w:r w:rsidR="00733B15">
          <w:rPr>
            <w:noProof/>
            <w:webHidden/>
          </w:rPr>
          <w:t>14</w:t>
        </w:r>
        <w:r w:rsidR="00F919CD">
          <w:rPr>
            <w:noProof/>
            <w:webHidden/>
          </w:rPr>
          <w:fldChar w:fldCharType="end"/>
        </w:r>
      </w:hyperlink>
    </w:p>
    <w:p w14:paraId="010EE0EC" w14:textId="0D3F1B2D" w:rsidR="00F919CD" w:rsidRDefault="003B4964">
      <w:pPr>
        <w:pStyle w:val="TOC1"/>
        <w:rPr>
          <w:rFonts w:asciiTheme="minorHAnsi" w:hAnsiTheme="minorHAnsi"/>
          <w:b w:val="0"/>
          <w:noProof/>
          <w:kern w:val="2"/>
          <w:sz w:val="22"/>
          <w:szCs w:val="22"/>
          <w:lang w:eastAsia="en-AU"/>
          <w14:ligatures w14:val="standardContextual"/>
        </w:rPr>
      </w:pPr>
      <w:hyperlink w:anchor="_Toc145926908" w:history="1">
        <w:r w:rsidR="00F919CD" w:rsidRPr="00EC243E">
          <w:rPr>
            <w:rStyle w:val="Hyperlink"/>
            <w:noProof/>
          </w:rPr>
          <w:t>Future direction</w:t>
        </w:r>
        <w:r w:rsidR="00F919CD">
          <w:rPr>
            <w:noProof/>
            <w:webHidden/>
          </w:rPr>
          <w:tab/>
        </w:r>
        <w:r w:rsidR="00F919CD">
          <w:rPr>
            <w:noProof/>
            <w:webHidden/>
          </w:rPr>
          <w:fldChar w:fldCharType="begin"/>
        </w:r>
        <w:r w:rsidR="00F919CD">
          <w:rPr>
            <w:noProof/>
            <w:webHidden/>
          </w:rPr>
          <w:instrText xml:space="preserve"> PAGEREF _Toc145926908 \h </w:instrText>
        </w:r>
        <w:r w:rsidR="00F919CD">
          <w:rPr>
            <w:noProof/>
            <w:webHidden/>
          </w:rPr>
        </w:r>
        <w:r w:rsidR="00F919CD">
          <w:rPr>
            <w:noProof/>
            <w:webHidden/>
          </w:rPr>
          <w:fldChar w:fldCharType="separate"/>
        </w:r>
        <w:r w:rsidR="00733B15">
          <w:rPr>
            <w:noProof/>
            <w:webHidden/>
          </w:rPr>
          <w:t>15</w:t>
        </w:r>
        <w:r w:rsidR="00F919CD">
          <w:rPr>
            <w:noProof/>
            <w:webHidden/>
          </w:rPr>
          <w:fldChar w:fldCharType="end"/>
        </w:r>
      </w:hyperlink>
    </w:p>
    <w:p w14:paraId="32D763A6" w14:textId="2DB1B5BC" w:rsidR="00F919CD" w:rsidRDefault="003B4964">
      <w:pPr>
        <w:pStyle w:val="TOC1"/>
        <w:rPr>
          <w:rFonts w:asciiTheme="minorHAnsi" w:hAnsiTheme="minorHAnsi"/>
          <w:b w:val="0"/>
          <w:noProof/>
          <w:kern w:val="2"/>
          <w:sz w:val="22"/>
          <w:szCs w:val="22"/>
          <w:lang w:eastAsia="en-AU"/>
          <w14:ligatures w14:val="standardContextual"/>
        </w:rPr>
      </w:pPr>
      <w:hyperlink w:anchor="_Toc145926909" w:history="1">
        <w:r w:rsidR="00F919CD" w:rsidRPr="00EC243E">
          <w:rPr>
            <w:rStyle w:val="Hyperlink"/>
            <w:noProof/>
          </w:rPr>
          <w:t>Governance</w:t>
        </w:r>
        <w:r w:rsidR="00F919CD">
          <w:rPr>
            <w:noProof/>
            <w:webHidden/>
          </w:rPr>
          <w:tab/>
        </w:r>
        <w:r w:rsidR="00F919CD">
          <w:rPr>
            <w:noProof/>
            <w:webHidden/>
          </w:rPr>
          <w:fldChar w:fldCharType="begin"/>
        </w:r>
        <w:r w:rsidR="00F919CD">
          <w:rPr>
            <w:noProof/>
            <w:webHidden/>
          </w:rPr>
          <w:instrText xml:space="preserve"> PAGEREF _Toc145926909 \h </w:instrText>
        </w:r>
        <w:r w:rsidR="00F919CD">
          <w:rPr>
            <w:noProof/>
            <w:webHidden/>
          </w:rPr>
        </w:r>
        <w:r w:rsidR="00F919CD">
          <w:rPr>
            <w:noProof/>
            <w:webHidden/>
          </w:rPr>
          <w:fldChar w:fldCharType="separate"/>
        </w:r>
        <w:r w:rsidR="00733B15">
          <w:rPr>
            <w:noProof/>
            <w:webHidden/>
          </w:rPr>
          <w:t>16</w:t>
        </w:r>
        <w:r w:rsidR="00F919CD">
          <w:rPr>
            <w:noProof/>
            <w:webHidden/>
          </w:rPr>
          <w:fldChar w:fldCharType="end"/>
        </w:r>
      </w:hyperlink>
    </w:p>
    <w:p w14:paraId="0C16ADB4" w14:textId="05444835" w:rsidR="00F919CD" w:rsidRDefault="003B4964">
      <w:pPr>
        <w:pStyle w:val="TOC2"/>
        <w:rPr>
          <w:rFonts w:asciiTheme="minorHAnsi" w:hAnsiTheme="minorHAnsi"/>
          <w:noProof/>
          <w:kern w:val="2"/>
          <w:sz w:val="22"/>
          <w:szCs w:val="22"/>
          <w:lang w:eastAsia="en-AU"/>
          <w14:ligatures w14:val="standardContextual"/>
        </w:rPr>
      </w:pPr>
      <w:hyperlink w:anchor="_Toc145926910" w:history="1">
        <w:r w:rsidR="00F919CD" w:rsidRPr="00EC243E">
          <w:rPr>
            <w:rStyle w:val="Hyperlink"/>
            <w:noProof/>
          </w:rPr>
          <w:t>Organisational structure</w:t>
        </w:r>
        <w:r w:rsidR="00F919CD">
          <w:rPr>
            <w:noProof/>
            <w:webHidden/>
          </w:rPr>
          <w:tab/>
        </w:r>
        <w:r w:rsidR="00F919CD">
          <w:rPr>
            <w:noProof/>
            <w:webHidden/>
          </w:rPr>
          <w:fldChar w:fldCharType="begin"/>
        </w:r>
        <w:r w:rsidR="00F919CD">
          <w:rPr>
            <w:noProof/>
            <w:webHidden/>
          </w:rPr>
          <w:instrText xml:space="preserve"> PAGEREF _Toc145926910 \h </w:instrText>
        </w:r>
        <w:r w:rsidR="00F919CD">
          <w:rPr>
            <w:noProof/>
            <w:webHidden/>
          </w:rPr>
        </w:r>
        <w:r w:rsidR="00F919CD">
          <w:rPr>
            <w:noProof/>
            <w:webHidden/>
          </w:rPr>
          <w:fldChar w:fldCharType="separate"/>
        </w:r>
        <w:r w:rsidR="00733B15">
          <w:rPr>
            <w:noProof/>
            <w:webHidden/>
          </w:rPr>
          <w:t>16</w:t>
        </w:r>
        <w:r w:rsidR="00F919CD">
          <w:rPr>
            <w:noProof/>
            <w:webHidden/>
          </w:rPr>
          <w:fldChar w:fldCharType="end"/>
        </w:r>
      </w:hyperlink>
    </w:p>
    <w:p w14:paraId="5D127B90" w14:textId="2A4BE045" w:rsidR="00F919CD" w:rsidRDefault="003B4964">
      <w:pPr>
        <w:pStyle w:val="TOC2"/>
        <w:rPr>
          <w:rFonts w:asciiTheme="minorHAnsi" w:hAnsiTheme="minorHAnsi"/>
          <w:noProof/>
          <w:kern w:val="2"/>
          <w:sz w:val="22"/>
          <w:szCs w:val="22"/>
          <w:lang w:eastAsia="en-AU"/>
          <w14:ligatures w14:val="standardContextual"/>
        </w:rPr>
      </w:pPr>
      <w:hyperlink w:anchor="_Toc145926911" w:history="1">
        <w:r w:rsidR="00F919CD" w:rsidRPr="00EC243E">
          <w:rPr>
            <w:rStyle w:val="Hyperlink"/>
            <w:noProof/>
            <w:shd w:val="clear" w:color="auto" w:fill="FFFFFF"/>
          </w:rPr>
          <w:t>Executive management</w:t>
        </w:r>
        <w:r w:rsidR="00F919CD">
          <w:rPr>
            <w:noProof/>
            <w:webHidden/>
          </w:rPr>
          <w:tab/>
        </w:r>
        <w:r w:rsidR="00F919CD">
          <w:rPr>
            <w:noProof/>
            <w:webHidden/>
          </w:rPr>
          <w:fldChar w:fldCharType="begin"/>
        </w:r>
        <w:r w:rsidR="00F919CD">
          <w:rPr>
            <w:noProof/>
            <w:webHidden/>
          </w:rPr>
          <w:instrText xml:space="preserve"> PAGEREF _Toc145926911 \h </w:instrText>
        </w:r>
        <w:r w:rsidR="00F919CD">
          <w:rPr>
            <w:noProof/>
            <w:webHidden/>
          </w:rPr>
        </w:r>
        <w:r w:rsidR="00F919CD">
          <w:rPr>
            <w:noProof/>
            <w:webHidden/>
          </w:rPr>
          <w:fldChar w:fldCharType="separate"/>
        </w:r>
        <w:r w:rsidR="00733B15">
          <w:rPr>
            <w:noProof/>
            <w:webHidden/>
          </w:rPr>
          <w:t>16</w:t>
        </w:r>
        <w:r w:rsidR="00F919CD">
          <w:rPr>
            <w:noProof/>
            <w:webHidden/>
          </w:rPr>
          <w:fldChar w:fldCharType="end"/>
        </w:r>
      </w:hyperlink>
    </w:p>
    <w:p w14:paraId="291B291B" w14:textId="4E40A2AD" w:rsidR="00F919CD" w:rsidRDefault="003B4964">
      <w:pPr>
        <w:pStyle w:val="TOC2"/>
        <w:rPr>
          <w:rFonts w:asciiTheme="minorHAnsi" w:hAnsiTheme="minorHAnsi"/>
          <w:noProof/>
          <w:kern w:val="2"/>
          <w:sz w:val="22"/>
          <w:szCs w:val="22"/>
          <w:lang w:eastAsia="en-AU"/>
          <w14:ligatures w14:val="standardContextual"/>
        </w:rPr>
      </w:pPr>
      <w:hyperlink w:anchor="_Toc145926912" w:history="1">
        <w:r w:rsidR="00F919CD" w:rsidRPr="00EC243E">
          <w:rPr>
            <w:rStyle w:val="Hyperlink"/>
            <w:noProof/>
          </w:rPr>
          <w:t>Public Sector Governance Council</w:t>
        </w:r>
        <w:r w:rsidR="00F919CD">
          <w:rPr>
            <w:noProof/>
            <w:webHidden/>
          </w:rPr>
          <w:tab/>
        </w:r>
        <w:r w:rsidR="00F919CD">
          <w:rPr>
            <w:noProof/>
            <w:webHidden/>
          </w:rPr>
          <w:fldChar w:fldCharType="begin"/>
        </w:r>
        <w:r w:rsidR="00F919CD">
          <w:rPr>
            <w:noProof/>
            <w:webHidden/>
          </w:rPr>
          <w:instrText xml:space="preserve"> PAGEREF _Toc145926912 \h </w:instrText>
        </w:r>
        <w:r w:rsidR="00F919CD">
          <w:rPr>
            <w:noProof/>
            <w:webHidden/>
          </w:rPr>
        </w:r>
        <w:r w:rsidR="00F919CD">
          <w:rPr>
            <w:noProof/>
            <w:webHidden/>
          </w:rPr>
          <w:fldChar w:fldCharType="separate"/>
        </w:r>
        <w:r w:rsidR="00733B15">
          <w:rPr>
            <w:noProof/>
            <w:webHidden/>
          </w:rPr>
          <w:t>16</w:t>
        </w:r>
        <w:r w:rsidR="00F919CD">
          <w:rPr>
            <w:noProof/>
            <w:webHidden/>
          </w:rPr>
          <w:fldChar w:fldCharType="end"/>
        </w:r>
      </w:hyperlink>
    </w:p>
    <w:p w14:paraId="1204AE41" w14:textId="5ADB4037" w:rsidR="00F919CD" w:rsidRDefault="003B4964">
      <w:pPr>
        <w:pStyle w:val="TOC2"/>
        <w:rPr>
          <w:rFonts w:asciiTheme="minorHAnsi" w:hAnsiTheme="minorHAnsi"/>
          <w:noProof/>
          <w:kern w:val="2"/>
          <w:sz w:val="22"/>
          <w:szCs w:val="22"/>
          <w:lang w:eastAsia="en-AU"/>
          <w14:ligatures w14:val="standardContextual"/>
        </w:rPr>
      </w:pPr>
      <w:hyperlink w:anchor="_Toc145926913" w:history="1">
        <w:r w:rsidR="00F919CD" w:rsidRPr="00EC243E">
          <w:rPr>
            <w:rStyle w:val="Hyperlink"/>
            <w:noProof/>
          </w:rPr>
          <w:t>Ethics and values</w:t>
        </w:r>
        <w:r w:rsidR="00F919CD">
          <w:rPr>
            <w:noProof/>
            <w:webHidden/>
          </w:rPr>
          <w:tab/>
        </w:r>
        <w:r w:rsidR="00F919CD">
          <w:rPr>
            <w:noProof/>
            <w:webHidden/>
          </w:rPr>
          <w:fldChar w:fldCharType="begin"/>
        </w:r>
        <w:r w:rsidR="00F919CD">
          <w:rPr>
            <w:noProof/>
            <w:webHidden/>
          </w:rPr>
          <w:instrText xml:space="preserve"> PAGEREF _Toc145926913 \h </w:instrText>
        </w:r>
        <w:r w:rsidR="00F919CD">
          <w:rPr>
            <w:noProof/>
            <w:webHidden/>
          </w:rPr>
        </w:r>
        <w:r w:rsidR="00F919CD">
          <w:rPr>
            <w:noProof/>
            <w:webHidden/>
          </w:rPr>
          <w:fldChar w:fldCharType="separate"/>
        </w:r>
        <w:r w:rsidR="00733B15">
          <w:rPr>
            <w:noProof/>
            <w:webHidden/>
          </w:rPr>
          <w:t>17</w:t>
        </w:r>
        <w:r w:rsidR="00F919CD">
          <w:rPr>
            <w:noProof/>
            <w:webHidden/>
          </w:rPr>
          <w:fldChar w:fldCharType="end"/>
        </w:r>
      </w:hyperlink>
    </w:p>
    <w:p w14:paraId="589DA4FD" w14:textId="1375FF89" w:rsidR="00F919CD" w:rsidRDefault="003B4964">
      <w:pPr>
        <w:pStyle w:val="TOC2"/>
        <w:rPr>
          <w:rFonts w:asciiTheme="minorHAnsi" w:hAnsiTheme="minorHAnsi"/>
          <w:noProof/>
          <w:kern w:val="2"/>
          <w:sz w:val="22"/>
          <w:szCs w:val="22"/>
          <w:lang w:eastAsia="en-AU"/>
          <w14:ligatures w14:val="standardContextual"/>
        </w:rPr>
      </w:pPr>
      <w:hyperlink w:anchor="_Toc145926914" w:history="1">
        <w:r w:rsidR="00F919CD" w:rsidRPr="00EC243E">
          <w:rPr>
            <w:rStyle w:val="Hyperlink"/>
            <w:noProof/>
          </w:rPr>
          <w:t>Human rights</w:t>
        </w:r>
        <w:r w:rsidR="00F919CD">
          <w:rPr>
            <w:noProof/>
            <w:webHidden/>
          </w:rPr>
          <w:tab/>
        </w:r>
        <w:r w:rsidR="00F919CD">
          <w:rPr>
            <w:noProof/>
            <w:webHidden/>
          </w:rPr>
          <w:fldChar w:fldCharType="begin"/>
        </w:r>
        <w:r w:rsidR="00F919CD">
          <w:rPr>
            <w:noProof/>
            <w:webHidden/>
          </w:rPr>
          <w:instrText xml:space="preserve"> PAGEREF _Toc145926914 \h </w:instrText>
        </w:r>
        <w:r w:rsidR="00F919CD">
          <w:rPr>
            <w:noProof/>
            <w:webHidden/>
          </w:rPr>
        </w:r>
        <w:r w:rsidR="00F919CD">
          <w:rPr>
            <w:noProof/>
            <w:webHidden/>
          </w:rPr>
          <w:fldChar w:fldCharType="separate"/>
        </w:r>
        <w:r w:rsidR="00733B15">
          <w:rPr>
            <w:noProof/>
            <w:webHidden/>
          </w:rPr>
          <w:t>17</w:t>
        </w:r>
        <w:r w:rsidR="00F919CD">
          <w:rPr>
            <w:noProof/>
            <w:webHidden/>
          </w:rPr>
          <w:fldChar w:fldCharType="end"/>
        </w:r>
      </w:hyperlink>
    </w:p>
    <w:p w14:paraId="32CF72A6" w14:textId="7846D48F" w:rsidR="00F919CD" w:rsidRDefault="003B4964">
      <w:pPr>
        <w:pStyle w:val="TOC2"/>
        <w:rPr>
          <w:rFonts w:asciiTheme="minorHAnsi" w:hAnsiTheme="minorHAnsi"/>
          <w:noProof/>
          <w:kern w:val="2"/>
          <w:sz w:val="22"/>
          <w:szCs w:val="22"/>
          <w:lang w:eastAsia="en-AU"/>
          <w14:ligatures w14:val="standardContextual"/>
        </w:rPr>
      </w:pPr>
      <w:hyperlink w:anchor="_Toc145926915" w:history="1">
        <w:r w:rsidR="00F919CD" w:rsidRPr="00EC243E">
          <w:rPr>
            <w:rStyle w:val="Hyperlink"/>
            <w:noProof/>
          </w:rPr>
          <w:t>Risk management</w:t>
        </w:r>
        <w:r w:rsidR="00F919CD">
          <w:rPr>
            <w:noProof/>
            <w:webHidden/>
          </w:rPr>
          <w:tab/>
        </w:r>
        <w:r w:rsidR="00F919CD">
          <w:rPr>
            <w:noProof/>
            <w:webHidden/>
          </w:rPr>
          <w:fldChar w:fldCharType="begin"/>
        </w:r>
        <w:r w:rsidR="00F919CD">
          <w:rPr>
            <w:noProof/>
            <w:webHidden/>
          </w:rPr>
          <w:instrText xml:space="preserve"> PAGEREF _Toc145926915 \h </w:instrText>
        </w:r>
        <w:r w:rsidR="00F919CD">
          <w:rPr>
            <w:noProof/>
            <w:webHidden/>
          </w:rPr>
        </w:r>
        <w:r w:rsidR="00F919CD">
          <w:rPr>
            <w:noProof/>
            <w:webHidden/>
          </w:rPr>
          <w:fldChar w:fldCharType="separate"/>
        </w:r>
        <w:r w:rsidR="00733B15">
          <w:rPr>
            <w:noProof/>
            <w:webHidden/>
          </w:rPr>
          <w:t>18</w:t>
        </w:r>
        <w:r w:rsidR="00F919CD">
          <w:rPr>
            <w:noProof/>
            <w:webHidden/>
          </w:rPr>
          <w:fldChar w:fldCharType="end"/>
        </w:r>
      </w:hyperlink>
    </w:p>
    <w:p w14:paraId="5B6E23FE" w14:textId="0006AFED" w:rsidR="00F919CD" w:rsidRDefault="003B4964">
      <w:pPr>
        <w:pStyle w:val="TOC2"/>
        <w:rPr>
          <w:rFonts w:asciiTheme="minorHAnsi" w:hAnsiTheme="minorHAnsi"/>
          <w:noProof/>
          <w:kern w:val="2"/>
          <w:sz w:val="22"/>
          <w:szCs w:val="22"/>
          <w:lang w:eastAsia="en-AU"/>
          <w14:ligatures w14:val="standardContextual"/>
        </w:rPr>
      </w:pPr>
      <w:hyperlink w:anchor="_Toc145926916" w:history="1">
        <w:r w:rsidR="00F919CD" w:rsidRPr="00EC243E">
          <w:rPr>
            <w:rStyle w:val="Hyperlink"/>
            <w:noProof/>
          </w:rPr>
          <w:t>Internal audit</w:t>
        </w:r>
        <w:r w:rsidR="00F919CD">
          <w:rPr>
            <w:noProof/>
            <w:webHidden/>
          </w:rPr>
          <w:tab/>
        </w:r>
        <w:r w:rsidR="00F919CD">
          <w:rPr>
            <w:noProof/>
            <w:webHidden/>
          </w:rPr>
          <w:fldChar w:fldCharType="begin"/>
        </w:r>
        <w:r w:rsidR="00F919CD">
          <w:rPr>
            <w:noProof/>
            <w:webHidden/>
          </w:rPr>
          <w:instrText xml:space="preserve"> PAGEREF _Toc145926916 \h </w:instrText>
        </w:r>
        <w:r w:rsidR="00F919CD">
          <w:rPr>
            <w:noProof/>
            <w:webHidden/>
          </w:rPr>
        </w:r>
        <w:r w:rsidR="00F919CD">
          <w:rPr>
            <w:noProof/>
            <w:webHidden/>
          </w:rPr>
          <w:fldChar w:fldCharType="separate"/>
        </w:r>
        <w:r w:rsidR="00733B15">
          <w:rPr>
            <w:noProof/>
            <w:webHidden/>
          </w:rPr>
          <w:t>18</w:t>
        </w:r>
        <w:r w:rsidR="00F919CD">
          <w:rPr>
            <w:noProof/>
            <w:webHidden/>
          </w:rPr>
          <w:fldChar w:fldCharType="end"/>
        </w:r>
      </w:hyperlink>
    </w:p>
    <w:p w14:paraId="2B67B160" w14:textId="2F28860B" w:rsidR="00F919CD" w:rsidRDefault="003B4964">
      <w:pPr>
        <w:pStyle w:val="TOC2"/>
        <w:rPr>
          <w:rFonts w:asciiTheme="minorHAnsi" w:hAnsiTheme="minorHAnsi"/>
          <w:noProof/>
          <w:kern w:val="2"/>
          <w:sz w:val="22"/>
          <w:szCs w:val="22"/>
          <w:lang w:eastAsia="en-AU"/>
          <w14:ligatures w14:val="standardContextual"/>
        </w:rPr>
      </w:pPr>
      <w:hyperlink w:anchor="_Toc145926917" w:history="1">
        <w:r w:rsidR="00F919CD" w:rsidRPr="00EC243E">
          <w:rPr>
            <w:rStyle w:val="Hyperlink"/>
            <w:noProof/>
          </w:rPr>
          <w:t>External scrutiny</w:t>
        </w:r>
        <w:r w:rsidR="00F919CD">
          <w:rPr>
            <w:noProof/>
            <w:webHidden/>
          </w:rPr>
          <w:tab/>
        </w:r>
        <w:r w:rsidR="00F919CD">
          <w:rPr>
            <w:noProof/>
            <w:webHidden/>
          </w:rPr>
          <w:fldChar w:fldCharType="begin"/>
        </w:r>
        <w:r w:rsidR="00F919CD">
          <w:rPr>
            <w:noProof/>
            <w:webHidden/>
          </w:rPr>
          <w:instrText xml:space="preserve"> PAGEREF _Toc145926917 \h </w:instrText>
        </w:r>
        <w:r w:rsidR="00F919CD">
          <w:rPr>
            <w:noProof/>
            <w:webHidden/>
          </w:rPr>
        </w:r>
        <w:r w:rsidR="00F919CD">
          <w:rPr>
            <w:noProof/>
            <w:webHidden/>
          </w:rPr>
          <w:fldChar w:fldCharType="separate"/>
        </w:r>
        <w:r w:rsidR="00733B15">
          <w:rPr>
            <w:noProof/>
            <w:webHidden/>
          </w:rPr>
          <w:t>19</w:t>
        </w:r>
        <w:r w:rsidR="00F919CD">
          <w:rPr>
            <w:noProof/>
            <w:webHidden/>
          </w:rPr>
          <w:fldChar w:fldCharType="end"/>
        </w:r>
      </w:hyperlink>
    </w:p>
    <w:p w14:paraId="440C6B25" w14:textId="6A4F5683" w:rsidR="00F919CD" w:rsidRDefault="003B4964">
      <w:pPr>
        <w:pStyle w:val="TOC2"/>
        <w:rPr>
          <w:rFonts w:asciiTheme="minorHAnsi" w:hAnsiTheme="minorHAnsi"/>
          <w:noProof/>
          <w:kern w:val="2"/>
          <w:sz w:val="22"/>
          <w:szCs w:val="22"/>
          <w:lang w:eastAsia="en-AU"/>
          <w14:ligatures w14:val="standardContextual"/>
        </w:rPr>
      </w:pPr>
      <w:hyperlink w:anchor="_Toc145926918" w:history="1">
        <w:r w:rsidR="00F919CD" w:rsidRPr="00EC243E">
          <w:rPr>
            <w:rStyle w:val="Hyperlink"/>
            <w:noProof/>
          </w:rPr>
          <w:t>Information systems</w:t>
        </w:r>
        <w:r w:rsidR="00F919CD">
          <w:rPr>
            <w:noProof/>
            <w:webHidden/>
          </w:rPr>
          <w:tab/>
        </w:r>
        <w:r w:rsidR="00F919CD">
          <w:rPr>
            <w:noProof/>
            <w:webHidden/>
          </w:rPr>
          <w:fldChar w:fldCharType="begin"/>
        </w:r>
        <w:r w:rsidR="00F919CD">
          <w:rPr>
            <w:noProof/>
            <w:webHidden/>
          </w:rPr>
          <w:instrText xml:space="preserve"> PAGEREF _Toc145926918 \h </w:instrText>
        </w:r>
        <w:r w:rsidR="00F919CD">
          <w:rPr>
            <w:noProof/>
            <w:webHidden/>
          </w:rPr>
        </w:r>
        <w:r w:rsidR="00F919CD">
          <w:rPr>
            <w:noProof/>
            <w:webHidden/>
          </w:rPr>
          <w:fldChar w:fldCharType="separate"/>
        </w:r>
        <w:r w:rsidR="00733B15">
          <w:rPr>
            <w:noProof/>
            <w:webHidden/>
          </w:rPr>
          <w:t>19</w:t>
        </w:r>
        <w:r w:rsidR="00F919CD">
          <w:rPr>
            <w:noProof/>
            <w:webHidden/>
          </w:rPr>
          <w:fldChar w:fldCharType="end"/>
        </w:r>
      </w:hyperlink>
    </w:p>
    <w:p w14:paraId="2B7737EB" w14:textId="1DE8CD6C" w:rsidR="00F919CD" w:rsidRDefault="003B4964">
      <w:pPr>
        <w:pStyle w:val="TOC2"/>
        <w:rPr>
          <w:rFonts w:asciiTheme="minorHAnsi" w:hAnsiTheme="minorHAnsi"/>
          <w:noProof/>
          <w:kern w:val="2"/>
          <w:sz w:val="22"/>
          <w:szCs w:val="22"/>
          <w:lang w:eastAsia="en-AU"/>
          <w14:ligatures w14:val="standardContextual"/>
        </w:rPr>
      </w:pPr>
      <w:hyperlink w:anchor="_Toc145926919" w:history="1">
        <w:r w:rsidR="00F919CD" w:rsidRPr="00EC243E">
          <w:rPr>
            <w:rStyle w:val="Hyperlink"/>
            <w:noProof/>
          </w:rPr>
          <w:t>Recordkeeping</w:t>
        </w:r>
        <w:r w:rsidR="00F919CD">
          <w:rPr>
            <w:noProof/>
            <w:webHidden/>
          </w:rPr>
          <w:tab/>
        </w:r>
        <w:r w:rsidR="00F919CD">
          <w:rPr>
            <w:noProof/>
            <w:webHidden/>
          </w:rPr>
          <w:fldChar w:fldCharType="begin"/>
        </w:r>
        <w:r w:rsidR="00F919CD">
          <w:rPr>
            <w:noProof/>
            <w:webHidden/>
          </w:rPr>
          <w:instrText xml:space="preserve"> PAGEREF _Toc145926919 \h </w:instrText>
        </w:r>
        <w:r w:rsidR="00F919CD">
          <w:rPr>
            <w:noProof/>
            <w:webHidden/>
          </w:rPr>
        </w:r>
        <w:r w:rsidR="00F919CD">
          <w:rPr>
            <w:noProof/>
            <w:webHidden/>
          </w:rPr>
          <w:fldChar w:fldCharType="separate"/>
        </w:r>
        <w:r w:rsidR="00733B15">
          <w:rPr>
            <w:noProof/>
            <w:webHidden/>
          </w:rPr>
          <w:t>20</w:t>
        </w:r>
        <w:r w:rsidR="00F919CD">
          <w:rPr>
            <w:noProof/>
            <w:webHidden/>
          </w:rPr>
          <w:fldChar w:fldCharType="end"/>
        </w:r>
      </w:hyperlink>
    </w:p>
    <w:p w14:paraId="17A9052B" w14:textId="52378A6E" w:rsidR="00F919CD" w:rsidRDefault="003B4964">
      <w:pPr>
        <w:pStyle w:val="TOC2"/>
        <w:rPr>
          <w:rFonts w:asciiTheme="minorHAnsi" w:hAnsiTheme="minorHAnsi"/>
          <w:noProof/>
          <w:kern w:val="2"/>
          <w:sz w:val="22"/>
          <w:szCs w:val="22"/>
          <w:lang w:eastAsia="en-AU"/>
          <w14:ligatures w14:val="standardContextual"/>
        </w:rPr>
      </w:pPr>
      <w:hyperlink w:anchor="_Toc145926920" w:history="1">
        <w:r w:rsidR="00F919CD" w:rsidRPr="00EC243E">
          <w:rPr>
            <w:rStyle w:val="Hyperlink"/>
            <w:noProof/>
          </w:rPr>
          <w:t>Information security attestation</w:t>
        </w:r>
        <w:r w:rsidR="00F919CD">
          <w:rPr>
            <w:noProof/>
            <w:webHidden/>
          </w:rPr>
          <w:tab/>
        </w:r>
        <w:r w:rsidR="00F919CD">
          <w:rPr>
            <w:noProof/>
            <w:webHidden/>
          </w:rPr>
          <w:fldChar w:fldCharType="begin"/>
        </w:r>
        <w:r w:rsidR="00F919CD">
          <w:rPr>
            <w:noProof/>
            <w:webHidden/>
          </w:rPr>
          <w:instrText xml:space="preserve"> PAGEREF _Toc145926920 \h </w:instrText>
        </w:r>
        <w:r w:rsidR="00F919CD">
          <w:rPr>
            <w:noProof/>
            <w:webHidden/>
          </w:rPr>
        </w:r>
        <w:r w:rsidR="00F919CD">
          <w:rPr>
            <w:noProof/>
            <w:webHidden/>
          </w:rPr>
          <w:fldChar w:fldCharType="separate"/>
        </w:r>
        <w:r w:rsidR="00733B15">
          <w:rPr>
            <w:noProof/>
            <w:webHidden/>
          </w:rPr>
          <w:t>20</w:t>
        </w:r>
        <w:r w:rsidR="00F919CD">
          <w:rPr>
            <w:noProof/>
            <w:webHidden/>
          </w:rPr>
          <w:fldChar w:fldCharType="end"/>
        </w:r>
      </w:hyperlink>
    </w:p>
    <w:p w14:paraId="4A381172" w14:textId="51C569A5" w:rsidR="00F919CD" w:rsidRDefault="003B4964">
      <w:pPr>
        <w:pStyle w:val="TOC2"/>
        <w:rPr>
          <w:rFonts w:asciiTheme="minorHAnsi" w:hAnsiTheme="minorHAnsi"/>
          <w:noProof/>
          <w:kern w:val="2"/>
          <w:sz w:val="22"/>
          <w:szCs w:val="22"/>
          <w:lang w:eastAsia="en-AU"/>
          <w14:ligatures w14:val="standardContextual"/>
        </w:rPr>
      </w:pPr>
      <w:hyperlink w:anchor="_Toc145926921" w:history="1">
        <w:r w:rsidR="00F919CD" w:rsidRPr="00EC243E">
          <w:rPr>
            <w:rStyle w:val="Hyperlink"/>
            <w:noProof/>
          </w:rPr>
          <w:t>Right to Information and Information Privacy</w:t>
        </w:r>
        <w:r w:rsidR="00F919CD">
          <w:rPr>
            <w:noProof/>
            <w:webHidden/>
          </w:rPr>
          <w:tab/>
        </w:r>
        <w:r w:rsidR="00F919CD">
          <w:rPr>
            <w:noProof/>
            <w:webHidden/>
          </w:rPr>
          <w:fldChar w:fldCharType="begin"/>
        </w:r>
        <w:r w:rsidR="00F919CD">
          <w:rPr>
            <w:noProof/>
            <w:webHidden/>
          </w:rPr>
          <w:instrText xml:space="preserve"> PAGEREF _Toc145926921 \h </w:instrText>
        </w:r>
        <w:r w:rsidR="00F919CD">
          <w:rPr>
            <w:noProof/>
            <w:webHidden/>
          </w:rPr>
        </w:r>
        <w:r w:rsidR="00F919CD">
          <w:rPr>
            <w:noProof/>
            <w:webHidden/>
          </w:rPr>
          <w:fldChar w:fldCharType="separate"/>
        </w:r>
        <w:r w:rsidR="00733B15">
          <w:rPr>
            <w:noProof/>
            <w:webHidden/>
          </w:rPr>
          <w:t>20</w:t>
        </w:r>
        <w:r w:rsidR="00F919CD">
          <w:rPr>
            <w:noProof/>
            <w:webHidden/>
          </w:rPr>
          <w:fldChar w:fldCharType="end"/>
        </w:r>
      </w:hyperlink>
    </w:p>
    <w:p w14:paraId="64021F8C" w14:textId="6DE4FA61" w:rsidR="00F919CD" w:rsidRDefault="003B4964">
      <w:pPr>
        <w:pStyle w:val="TOC1"/>
        <w:rPr>
          <w:rFonts w:asciiTheme="minorHAnsi" w:hAnsiTheme="minorHAnsi"/>
          <w:b w:val="0"/>
          <w:noProof/>
          <w:kern w:val="2"/>
          <w:sz w:val="22"/>
          <w:szCs w:val="22"/>
          <w:lang w:eastAsia="en-AU"/>
          <w14:ligatures w14:val="standardContextual"/>
        </w:rPr>
      </w:pPr>
      <w:hyperlink w:anchor="_Toc145926922" w:history="1">
        <w:r w:rsidR="00F919CD" w:rsidRPr="00EC243E">
          <w:rPr>
            <w:rStyle w:val="Hyperlink"/>
            <w:noProof/>
          </w:rPr>
          <w:t>People</w:t>
        </w:r>
        <w:r w:rsidR="00F919CD">
          <w:rPr>
            <w:noProof/>
            <w:webHidden/>
          </w:rPr>
          <w:tab/>
        </w:r>
        <w:r w:rsidR="00F919CD">
          <w:rPr>
            <w:noProof/>
            <w:webHidden/>
          </w:rPr>
          <w:fldChar w:fldCharType="begin"/>
        </w:r>
        <w:r w:rsidR="00F919CD">
          <w:rPr>
            <w:noProof/>
            <w:webHidden/>
          </w:rPr>
          <w:instrText xml:space="preserve"> PAGEREF _Toc145926922 \h </w:instrText>
        </w:r>
        <w:r w:rsidR="00F919CD">
          <w:rPr>
            <w:noProof/>
            <w:webHidden/>
          </w:rPr>
        </w:r>
        <w:r w:rsidR="00F919CD">
          <w:rPr>
            <w:noProof/>
            <w:webHidden/>
          </w:rPr>
          <w:fldChar w:fldCharType="separate"/>
        </w:r>
        <w:r w:rsidR="00733B15">
          <w:rPr>
            <w:noProof/>
            <w:webHidden/>
          </w:rPr>
          <w:t>20</w:t>
        </w:r>
        <w:r w:rsidR="00F919CD">
          <w:rPr>
            <w:noProof/>
            <w:webHidden/>
          </w:rPr>
          <w:fldChar w:fldCharType="end"/>
        </w:r>
      </w:hyperlink>
    </w:p>
    <w:p w14:paraId="40813598" w14:textId="742DA679" w:rsidR="00F919CD" w:rsidRDefault="003B4964">
      <w:pPr>
        <w:pStyle w:val="TOC2"/>
        <w:rPr>
          <w:rFonts w:asciiTheme="minorHAnsi" w:hAnsiTheme="minorHAnsi"/>
          <w:noProof/>
          <w:kern w:val="2"/>
          <w:sz w:val="22"/>
          <w:szCs w:val="22"/>
          <w:lang w:eastAsia="en-AU"/>
          <w14:ligatures w14:val="standardContextual"/>
        </w:rPr>
      </w:pPr>
      <w:hyperlink w:anchor="_Toc145926923" w:history="1">
        <w:r w:rsidR="00F919CD" w:rsidRPr="00EC243E">
          <w:rPr>
            <w:rStyle w:val="Hyperlink"/>
            <w:noProof/>
          </w:rPr>
          <w:t>Workforce profile</w:t>
        </w:r>
        <w:r w:rsidR="00F919CD">
          <w:rPr>
            <w:noProof/>
            <w:webHidden/>
          </w:rPr>
          <w:tab/>
        </w:r>
        <w:r w:rsidR="00F919CD">
          <w:rPr>
            <w:noProof/>
            <w:webHidden/>
          </w:rPr>
          <w:fldChar w:fldCharType="begin"/>
        </w:r>
        <w:r w:rsidR="00F919CD">
          <w:rPr>
            <w:noProof/>
            <w:webHidden/>
          </w:rPr>
          <w:instrText xml:space="preserve"> PAGEREF _Toc145926923 \h </w:instrText>
        </w:r>
        <w:r w:rsidR="00F919CD">
          <w:rPr>
            <w:noProof/>
            <w:webHidden/>
          </w:rPr>
        </w:r>
        <w:r w:rsidR="00F919CD">
          <w:rPr>
            <w:noProof/>
            <w:webHidden/>
          </w:rPr>
          <w:fldChar w:fldCharType="separate"/>
        </w:r>
        <w:r w:rsidR="00733B15">
          <w:rPr>
            <w:noProof/>
            <w:webHidden/>
          </w:rPr>
          <w:t>20</w:t>
        </w:r>
        <w:r w:rsidR="00F919CD">
          <w:rPr>
            <w:noProof/>
            <w:webHidden/>
          </w:rPr>
          <w:fldChar w:fldCharType="end"/>
        </w:r>
      </w:hyperlink>
    </w:p>
    <w:p w14:paraId="37F1EC19" w14:textId="243C42FC" w:rsidR="00F919CD" w:rsidRDefault="003B4964">
      <w:pPr>
        <w:pStyle w:val="TOC1"/>
        <w:rPr>
          <w:rFonts w:asciiTheme="minorHAnsi" w:hAnsiTheme="minorHAnsi"/>
          <w:b w:val="0"/>
          <w:noProof/>
          <w:kern w:val="2"/>
          <w:sz w:val="22"/>
          <w:szCs w:val="22"/>
          <w:lang w:eastAsia="en-AU"/>
          <w14:ligatures w14:val="standardContextual"/>
        </w:rPr>
      </w:pPr>
      <w:hyperlink w:anchor="_Toc145926924" w:history="1">
        <w:r w:rsidR="00F919CD" w:rsidRPr="00EC243E">
          <w:rPr>
            <w:rStyle w:val="Hyperlink"/>
            <w:noProof/>
          </w:rPr>
          <w:t>Early retirement, redundancy and retrenchment</w:t>
        </w:r>
        <w:r w:rsidR="00F919CD">
          <w:rPr>
            <w:noProof/>
            <w:webHidden/>
          </w:rPr>
          <w:tab/>
        </w:r>
        <w:r w:rsidR="00F919CD">
          <w:rPr>
            <w:noProof/>
            <w:webHidden/>
          </w:rPr>
          <w:fldChar w:fldCharType="begin"/>
        </w:r>
        <w:r w:rsidR="00F919CD">
          <w:rPr>
            <w:noProof/>
            <w:webHidden/>
          </w:rPr>
          <w:instrText xml:space="preserve"> PAGEREF _Toc145926924 \h </w:instrText>
        </w:r>
        <w:r w:rsidR="00F919CD">
          <w:rPr>
            <w:noProof/>
            <w:webHidden/>
          </w:rPr>
        </w:r>
        <w:r w:rsidR="00F919CD">
          <w:rPr>
            <w:noProof/>
            <w:webHidden/>
          </w:rPr>
          <w:fldChar w:fldCharType="separate"/>
        </w:r>
        <w:r w:rsidR="00733B15">
          <w:rPr>
            <w:noProof/>
            <w:webHidden/>
          </w:rPr>
          <w:t>21</w:t>
        </w:r>
        <w:r w:rsidR="00F919CD">
          <w:rPr>
            <w:noProof/>
            <w:webHidden/>
          </w:rPr>
          <w:fldChar w:fldCharType="end"/>
        </w:r>
      </w:hyperlink>
    </w:p>
    <w:p w14:paraId="56FB59CA" w14:textId="11E04D4F" w:rsidR="00F919CD" w:rsidRDefault="003B4964">
      <w:pPr>
        <w:pStyle w:val="TOC1"/>
        <w:rPr>
          <w:rFonts w:asciiTheme="minorHAnsi" w:hAnsiTheme="minorHAnsi"/>
          <w:b w:val="0"/>
          <w:noProof/>
          <w:kern w:val="2"/>
          <w:sz w:val="22"/>
          <w:szCs w:val="22"/>
          <w:lang w:eastAsia="en-AU"/>
          <w14:ligatures w14:val="standardContextual"/>
        </w:rPr>
      </w:pPr>
      <w:hyperlink w:anchor="_Toc145926925" w:history="1">
        <w:r w:rsidR="00F919CD" w:rsidRPr="00EC243E">
          <w:rPr>
            <w:rStyle w:val="Hyperlink"/>
            <w:noProof/>
          </w:rPr>
          <w:t>Health, safety and wellbeing</w:t>
        </w:r>
        <w:r w:rsidR="00F919CD">
          <w:rPr>
            <w:noProof/>
            <w:webHidden/>
          </w:rPr>
          <w:tab/>
        </w:r>
        <w:r w:rsidR="00F919CD">
          <w:rPr>
            <w:noProof/>
            <w:webHidden/>
          </w:rPr>
          <w:fldChar w:fldCharType="begin"/>
        </w:r>
        <w:r w:rsidR="00F919CD">
          <w:rPr>
            <w:noProof/>
            <w:webHidden/>
          </w:rPr>
          <w:instrText xml:space="preserve"> PAGEREF _Toc145926925 \h </w:instrText>
        </w:r>
        <w:r w:rsidR="00F919CD">
          <w:rPr>
            <w:noProof/>
            <w:webHidden/>
          </w:rPr>
        </w:r>
        <w:r w:rsidR="00F919CD">
          <w:rPr>
            <w:noProof/>
            <w:webHidden/>
          </w:rPr>
          <w:fldChar w:fldCharType="separate"/>
        </w:r>
        <w:r w:rsidR="00733B15">
          <w:rPr>
            <w:noProof/>
            <w:webHidden/>
          </w:rPr>
          <w:t>21</w:t>
        </w:r>
        <w:r w:rsidR="00F919CD">
          <w:rPr>
            <w:noProof/>
            <w:webHidden/>
          </w:rPr>
          <w:fldChar w:fldCharType="end"/>
        </w:r>
      </w:hyperlink>
    </w:p>
    <w:p w14:paraId="03B08B01" w14:textId="0C068B0F" w:rsidR="00F919CD" w:rsidRDefault="003B4964">
      <w:pPr>
        <w:pStyle w:val="TOC1"/>
        <w:rPr>
          <w:rFonts w:asciiTheme="minorHAnsi" w:hAnsiTheme="minorHAnsi"/>
          <w:b w:val="0"/>
          <w:noProof/>
          <w:kern w:val="2"/>
          <w:sz w:val="22"/>
          <w:szCs w:val="22"/>
          <w:lang w:eastAsia="en-AU"/>
          <w14:ligatures w14:val="standardContextual"/>
        </w:rPr>
      </w:pPr>
      <w:hyperlink w:anchor="_Toc145926926" w:history="1">
        <w:r w:rsidR="00F919CD" w:rsidRPr="00EC243E">
          <w:rPr>
            <w:rStyle w:val="Hyperlink"/>
            <w:noProof/>
          </w:rPr>
          <w:t>Inclusion and diversity</w:t>
        </w:r>
        <w:r w:rsidR="00F919CD">
          <w:rPr>
            <w:noProof/>
            <w:webHidden/>
          </w:rPr>
          <w:tab/>
        </w:r>
        <w:r w:rsidR="00F919CD">
          <w:rPr>
            <w:noProof/>
            <w:webHidden/>
          </w:rPr>
          <w:fldChar w:fldCharType="begin"/>
        </w:r>
        <w:r w:rsidR="00F919CD">
          <w:rPr>
            <w:noProof/>
            <w:webHidden/>
          </w:rPr>
          <w:instrText xml:space="preserve"> PAGEREF _Toc145926926 \h </w:instrText>
        </w:r>
        <w:r w:rsidR="00F919CD">
          <w:rPr>
            <w:noProof/>
            <w:webHidden/>
          </w:rPr>
        </w:r>
        <w:r w:rsidR="00F919CD">
          <w:rPr>
            <w:noProof/>
            <w:webHidden/>
          </w:rPr>
          <w:fldChar w:fldCharType="separate"/>
        </w:r>
        <w:r w:rsidR="00733B15">
          <w:rPr>
            <w:noProof/>
            <w:webHidden/>
          </w:rPr>
          <w:t>21</w:t>
        </w:r>
        <w:r w:rsidR="00F919CD">
          <w:rPr>
            <w:noProof/>
            <w:webHidden/>
          </w:rPr>
          <w:fldChar w:fldCharType="end"/>
        </w:r>
      </w:hyperlink>
    </w:p>
    <w:p w14:paraId="26D15911" w14:textId="35C024D3" w:rsidR="00F919CD" w:rsidRDefault="003B4964">
      <w:pPr>
        <w:pStyle w:val="TOC1"/>
        <w:rPr>
          <w:rFonts w:asciiTheme="minorHAnsi" w:hAnsiTheme="minorHAnsi"/>
          <w:b w:val="0"/>
          <w:noProof/>
          <w:kern w:val="2"/>
          <w:sz w:val="22"/>
          <w:szCs w:val="22"/>
          <w:lang w:eastAsia="en-AU"/>
          <w14:ligatures w14:val="standardContextual"/>
        </w:rPr>
      </w:pPr>
      <w:hyperlink w:anchor="_Toc145926927" w:history="1">
        <w:r w:rsidR="00F919CD" w:rsidRPr="00EC243E">
          <w:rPr>
            <w:rStyle w:val="Hyperlink"/>
            <w:noProof/>
          </w:rPr>
          <w:t>Capability development</w:t>
        </w:r>
        <w:r w:rsidR="00F919CD">
          <w:rPr>
            <w:noProof/>
            <w:webHidden/>
          </w:rPr>
          <w:tab/>
        </w:r>
        <w:r w:rsidR="00F919CD">
          <w:rPr>
            <w:noProof/>
            <w:webHidden/>
          </w:rPr>
          <w:fldChar w:fldCharType="begin"/>
        </w:r>
        <w:r w:rsidR="00F919CD">
          <w:rPr>
            <w:noProof/>
            <w:webHidden/>
          </w:rPr>
          <w:instrText xml:space="preserve"> PAGEREF _Toc145926927 \h </w:instrText>
        </w:r>
        <w:r w:rsidR="00F919CD">
          <w:rPr>
            <w:noProof/>
            <w:webHidden/>
          </w:rPr>
        </w:r>
        <w:r w:rsidR="00F919CD">
          <w:rPr>
            <w:noProof/>
            <w:webHidden/>
          </w:rPr>
          <w:fldChar w:fldCharType="separate"/>
        </w:r>
        <w:r w:rsidR="00733B15">
          <w:rPr>
            <w:noProof/>
            <w:webHidden/>
          </w:rPr>
          <w:t>22</w:t>
        </w:r>
        <w:r w:rsidR="00F919CD">
          <w:rPr>
            <w:noProof/>
            <w:webHidden/>
          </w:rPr>
          <w:fldChar w:fldCharType="end"/>
        </w:r>
      </w:hyperlink>
    </w:p>
    <w:p w14:paraId="4852A164" w14:textId="1996F3D6" w:rsidR="00F919CD" w:rsidRDefault="003B4964">
      <w:pPr>
        <w:pStyle w:val="TOC1"/>
        <w:rPr>
          <w:rFonts w:asciiTheme="minorHAnsi" w:hAnsiTheme="minorHAnsi"/>
          <w:b w:val="0"/>
          <w:noProof/>
          <w:kern w:val="2"/>
          <w:sz w:val="22"/>
          <w:szCs w:val="22"/>
          <w:lang w:eastAsia="en-AU"/>
          <w14:ligatures w14:val="standardContextual"/>
        </w:rPr>
      </w:pPr>
      <w:hyperlink w:anchor="_Toc145926928" w:history="1">
        <w:r w:rsidR="00F919CD" w:rsidRPr="00EC243E">
          <w:rPr>
            <w:rStyle w:val="Hyperlink"/>
            <w:noProof/>
          </w:rPr>
          <w:t>Workforce engagement</w:t>
        </w:r>
        <w:r w:rsidR="00F919CD">
          <w:rPr>
            <w:noProof/>
            <w:webHidden/>
          </w:rPr>
          <w:tab/>
        </w:r>
        <w:r w:rsidR="00F919CD">
          <w:rPr>
            <w:noProof/>
            <w:webHidden/>
          </w:rPr>
          <w:fldChar w:fldCharType="begin"/>
        </w:r>
        <w:r w:rsidR="00F919CD">
          <w:rPr>
            <w:noProof/>
            <w:webHidden/>
          </w:rPr>
          <w:instrText xml:space="preserve"> PAGEREF _Toc145926928 \h </w:instrText>
        </w:r>
        <w:r w:rsidR="00F919CD">
          <w:rPr>
            <w:noProof/>
            <w:webHidden/>
          </w:rPr>
        </w:r>
        <w:r w:rsidR="00F919CD">
          <w:rPr>
            <w:noProof/>
            <w:webHidden/>
          </w:rPr>
          <w:fldChar w:fldCharType="separate"/>
        </w:r>
        <w:r w:rsidR="00733B15">
          <w:rPr>
            <w:noProof/>
            <w:webHidden/>
          </w:rPr>
          <w:t>22</w:t>
        </w:r>
        <w:r w:rsidR="00F919CD">
          <w:rPr>
            <w:noProof/>
            <w:webHidden/>
          </w:rPr>
          <w:fldChar w:fldCharType="end"/>
        </w:r>
      </w:hyperlink>
    </w:p>
    <w:p w14:paraId="2506465B" w14:textId="70E01F91" w:rsidR="00F919CD" w:rsidRDefault="003B4964">
      <w:pPr>
        <w:pStyle w:val="TOC1"/>
        <w:rPr>
          <w:rFonts w:asciiTheme="minorHAnsi" w:hAnsiTheme="minorHAnsi"/>
          <w:b w:val="0"/>
          <w:noProof/>
          <w:kern w:val="2"/>
          <w:sz w:val="22"/>
          <w:szCs w:val="22"/>
          <w:lang w:eastAsia="en-AU"/>
          <w14:ligatures w14:val="standardContextual"/>
        </w:rPr>
      </w:pPr>
      <w:hyperlink w:anchor="_Toc145926929" w:history="1">
        <w:r w:rsidR="00F919CD" w:rsidRPr="00EC243E">
          <w:rPr>
            <w:rStyle w:val="Hyperlink"/>
            <w:noProof/>
          </w:rPr>
          <w:t>Financial statements</w:t>
        </w:r>
        <w:r w:rsidR="00F919CD">
          <w:rPr>
            <w:noProof/>
            <w:webHidden/>
          </w:rPr>
          <w:tab/>
        </w:r>
        <w:r w:rsidR="00F919CD">
          <w:rPr>
            <w:noProof/>
            <w:webHidden/>
          </w:rPr>
          <w:fldChar w:fldCharType="begin"/>
        </w:r>
        <w:r w:rsidR="00F919CD">
          <w:rPr>
            <w:noProof/>
            <w:webHidden/>
          </w:rPr>
          <w:instrText xml:space="preserve"> PAGEREF _Toc145926929 \h </w:instrText>
        </w:r>
        <w:r w:rsidR="00F919CD">
          <w:rPr>
            <w:noProof/>
            <w:webHidden/>
          </w:rPr>
        </w:r>
        <w:r w:rsidR="00F919CD">
          <w:rPr>
            <w:noProof/>
            <w:webHidden/>
          </w:rPr>
          <w:fldChar w:fldCharType="separate"/>
        </w:r>
        <w:r w:rsidR="00733B15">
          <w:rPr>
            <w:noProof/>
            <w:webHidden/>
          </w:rPr>
          <w:t>23</w:t>
        </w:r>
        <w:r w:rsidR="00F919CD">
          <w:rPr>
            <w:noProof/>
            <w:webHidden/>
          </w:rPr>
          <w:fldChar w:fldCharType="end"/>
        </w:r>
      </w:hyperlink>
    </w:p>
    <w:p w14:paraId="2E5320E3" w14:textId="143AE43F" w:rsidR="00F919CD" w:rsidRDefault="003B4964">
      <w:pPr>
        <w:pStyle w:val="TOC2"/>
        <w:rPr>
          <w:rFonts w:asciiTheme="minorHAnsi" w:hAnsiTheme="minorHAnsi"/>
          <w:noProof/>
          <w:kern w:val="2"/>
          <w:sz w:val="22"/>
          <w:szCs w:val="22"/>
          <w:lang w:eastAsia="en-AU"/>
          <w14:ligatures w14:val="standardContextual"/>
        </w:rPr>
      </w:pPr>
      <w:hyperlink w:anchor="_Toc145926996" w:history="1">
        <w:r w:rsidR="00F919CD" w:rsidRPr="00EC243E">
          <w:rPr>
            <w:rStyle w:val="Hyperlink"/>
            <w:noProof/>
            <w:lang w:eastAsia="en-AU"/>
          </w:rPr>
          <w:t>Certificate of the Public Service Commission</w:t>
        </w:r>
        <w:r w:rsidR="00F919CD">
          <w:rPr>
            <w:noProof/>
            <w:webHidden/>
          </w:rPr>
          <w:tab/>
        </w:r>
        <w:r w:rsidR="00F919CD">
          <w:rPr>
            <w:noProof/>
            <w:webHidden/>
          </w:rPr>
          <w:fldChar w:fldCharType="begin"/>
        </w:r>
        <w:r w:rsidR="00F919CD">
          <w:rPr>
            <w:noProof/>
            <w:webHidden/>
          </w:rPr>
          <w:instrText xml:space="preserve"> PAGEREF _Toc145926996 \h </w:instrText>
        </w:r>
        <w:r w:rsidR="00F919CD">
          <w:rPr>
            <w:noProof/>
            <w:webHidden/>
          </w:rPr>
        </w:r>
        <w:r w:rsidR="00F919CD">
          <w:rPr>
            <w:noProof/>
            <w:webHidden/>
          </w:rPr>
          <w:fldChar w:fldCharType="separate"/>
        </w:r>
        <w:r w:rsidR="00733B15">
          <w:rPr>
            <w:noProof/>
            <w:webHidden/>
          </w:rPr>
          <w:t>40</w:t>
        </w:r>
        <w:r w:rsidR="00F919CD">
          <w:rPr>
            <w:noProof/>
            <w:webHidden/>
          </w:rPr>
          <w:fldChar w:fldCharType="end"/>
        </w:r>
      </w:hyperlink>
    </w:p>
    <w:p w14:paraId="46217490" w14:textId="1ED1347B" w:rsidR="00F919CD" w:rsidRDefault="003B4964">
      <w:pPr>
        <w:pStyle w:val="TOC1"/>
        <w:rPr>
          <w:rFonts w:asciiTheme="minorHAnsi" w:hAnsiTheme="minorHAnsi"/>
          <w:b w:val="0"/>
          <w:noProof/>
          <w:kern w:val="2"/>
          <w:sz w:val="22"/>
          <w:szCs w:val="22"/>
          <w:lang w:eastAsia="en-AU"/>
          <w14:ligatures w14:val="standardContextual"/>
        </w:rPr>
      </w:pPr>
      <w:hyperlink w:anchor="_Toc145926997" w:history="1">
        <w:r w:rsidR="00F919CD" w:rsidRPr="00EC243E">
          <w:rPr>
            <w:rStyle w:val="Hyperlink"/>
            <w:noProof/>
            <w:lang w:eastAsia="en-AU"/>
          </w:rPr>
          <w:t>I</w:t>
        </w:r>
        <w:r w:rsidR="00DB3E11">
          <w:rPr>
            <w:rStyle w:val="Hyperlink"/>
            <w:noProof/>
            <w:lang w:eastAsia="en-AU"/>
          </w:rPr>
          <w:t>ndependent auditor’s report</w:t>
        </w:r>
        <w:r w:rsidR="00F919CD">
          <w:rPr>
            <w:noProof/>
            <w:webHidden/>
          </w:rPr>
          <w:tab/>
        </w:r>
        <w:r w:rsidR="00F919CD">
          <w:rPr>
            <w:noProof/>
            <w:webHidden/>
          </w:rPr>
          <w:fldChar w:fldCharType="begin"/>
        </w:r>
        <w:r w:rsidR="00F919CD">
          <w:rPr>
            <w:noProof/>
            <w:webHidden/>
          </w:rPr>
          <w:instrText xml:space="preserve"> PAGEREF _Toc145926997 \h </w:instrText>
        </w:r>
        <w:r w:rsidR="00F919CD">
          <w:rPr>
            <w:noProof/>
            <w:webHidden/>
          </w:rPr>
        </w:r>
        <w:r w:rsidR="00F919CD">
          <w:rPr>
            <w:noProof/>
            <w:webHidden/>
          </w:rPr>
          <w:fldChar w:fldCharType="separate"/>
        </w:r>
        <w:r w:rsidR="00733B15">
          <w:rPr>
            <w:noProof/>
            <w:webHidden/>
          </w:rPr>
          <w:t>41</w:t>
        </w:r>
        <w:r w:rsidR="00F919CD">
          <w:rPr>
            <w:noProof/>
            <w:webHidden/>
          </w:rPr>
          <w:fldChar w:fldCharType="end"/>
        </w:r>
      </w:hyperlink>
    </w:p>
    <w:p w14:paraId="0C8198D3" w14:textId="185B2A7F" w:rsidR="00F919CD" w:rsidRDefault="003B4964">
      <w:pPr>
        <w:pStyle w:val="TOC1"/>
        <w:rPr>
          <w:rFonts w:asciiTheme="minorHAnsi" w:hAnsiTheme="minorHAnsi"/>
          <w:b w:val="0"/>
          <w:noProof/>
          <w:kern w:val="2"/>
          <w:sz w:val="22"/>
          <w:szCs w:val="22"/>
          <w:lang w:eastAsia="en-AU"/>
          <w14:ligatures w14:val="standardContextual"/>
        </w:rPr>
      </w:pPr>
      <w:hyperlink w:anchor="_Toc145926998" w:history="1">
        <w:r w:rsidR="00F919CD" w:rsidRPr="00EC243E">
          <w:rPr>
            <w:rStyle w:val="Hyperlink"/>
            <w:noProof/>
          </w:rPr>
          <w:t>Glossary</w:t>
        </w:r>
        <w:r w:rsidR="00F919CD">
          <w:rPr>
            <w:noProof/>
            <w:webHidden/>
          </w:rPr>
          <w:tab/>
        </w:r>
        <w:r w:rsidR="00F919CD">
          <w:rPr>
            <w:noProof/>
            <w:webHidden/>
          </w:rPr>
          <w:fldChar w:fldCharType="begin"/>
        </w:r>
        <w:r w:rsidR="00F919CD">
          <w:rPr>
            <w:noProof/>
            <w:webHidden/>
          </w:rPr>
          <w:instrText xml:space="preserve"> PAGEREF _Toc145926998 \h </w:instrText>
        </w:r>
        <w:r w:rsidR="00F919CD">
          <w:rPr>
            <w:noProof/>
            <w:webHidden/>
          </w:rPr>
        </w:r>
        <w:r w:rsidR="00F919CD">
          <w:rPr>
            <w:noProof/>
            <w:webHidden/>
          </w:rPr>
          <w:fldChar w:fldCharType="separate"/>
        </w:r>
        <w:r w:rsidR="00733B15">
          <w:rPr>
            <w:noProof/>
            <w:webHidden/>
          </w:rPr>
          <w:t>44</w:t>
        </w:r>
        <w:r w:rsidR="00F919CD">
          <w:rPr>
            <w:noProof/>
            <w:webHidden/>
          </w:rPr>
          <w:fldChar w:fldCharType="end"/>
        </w:r>
      </w:hyperlink>
    </w:p>
    <w:p w14:paraId="62D08854" w14:textId="7DD3CBDD" w:rsidR="00F919CD" w:rsidRDefault="003B4964">
      <w:pPr>
        <w:pStyle w:val="TOC1"/>
        <w:rPr>
          <w:rFonts w:asciiTheme="minorHAnsi" w:hAnsiTheme="minorHAnsi"/>
          <w:b w:val="0"/>
          <w:noProof/>
          <w:kern w:val="2"/>
          <w:sz w:val="22"/>
          <w:szCs w:val="22"/>
          <w:lang w:eastAsia="en-AU"/>
          <w14:ligatures w14:val="standardContextual"/>
        </w:rPr>
      </w:pPr>
      <w:hyperlink w:anchor="_Toc145926999" w:history="1">
        <w:r w:rsidR="00F919CD" w:rsidRPr="00EC243E">
          <w:rPr>
            <w:rStyle w:val="Hyperlink"/>
            <w:noProof/>
          </w:rPr>
          <w:t>Annual report compliance checklist</w:t>
        </w:r>
        <w:r w:rsidR="00F919CD">
          <w:rPr>
            <w:noProof/>
            <w:webHidden/>
          </w:rPr>
          <w:tab/>
        </w:r>
        <w:r w:rsidR="00F919CD">
          <w:rPr>
            <w:noProof/>
            <w:webHidden/>
          </w:rPr>
          <w:fldChar w:fldCharType="begin"/>
        </w:r>
        <w:r w:rsidR="00F919CD">
          <w:rPr>
            <w:noProof/>
            <w:webHidden/>
          </w:rPr>
          <w:instrText xml:space="preserve"> PAGEREF _Toc145926999 \h </w:instrText>
        </w:r>
        <w:r w:rsidR="00F919CD">
          <w:rPr>
            <w:noProof/>
            <w:webHidden/>
          </w:rPr>
        </w:r>
        <w:r w:rsidR="00F919CD">
          <w:rPr>
            <w:noProof/>
            <w:webHidden/>
          </w:rPr>
          <w:fldChar w:fldCharType="separate"/>
        </w:r>
        <w:r w:rsidR="00733B15">
          <w:rPr>
            <w:noProof/>
            <w:webHidden/>
          </w:rPr>
          <w:t>46</w:t>
        </w:r>
        <w:r w:rsidR="00F919CD">
          <w:rPr>
            <w:noProof/>
            <w:webHidden/>
          </w:rPr>
          <w:fldChar w:fldCharType="end"/>
        </w:r>
      </w:hyperlink>
    </w:p>
    <w:p w14:paraId="4042A478" w14:textId="750AE8C3" w:rsidR="00F15136" w:rsidRDefault="00B53A1A" w:rsidP="004867C5">
      <w:pPr>
        <w:sectPr w:rsidR="00F15136" w:rsidSect="0006172E">
          <w:type w:val="continuous"/>
          <w:pgSz w:w="11906" w:h="16838"/>
          <w:pgMar w:top="1440" w:right="1134" w:bottom="425" w:left="1134" w:header="708" w:footer="709" w:gutter="0"/>
          <w:pgNumType w:fmt="lowerRoman" w:start="2"/>
          <w:cols w:space="567"/>
          <w:docGrid w:linePitch="360"/>
        </w:sectPr>
      </w:pPr>
      <w:r>
        <w:fldChar w:fldCharType="end"/>
      </w:r>
      <w:bookmarkStart w:id="37" w:name="_Toc79493342"/>
      <w:bookmarkStart w:id="38" w:name="_Toc577412228"/>
      <w:bookmarkStart w:id="39" w:name="_Toc141342841"/>
      <w:bookmarkStart w:id="40" w:name="_Toc141781779"/>
      <w:bookmarkStart w:id="41" w:name="_Toc141781941"/>
    </w:p>
    <w:p w14:paraId="70DCA0FE" w14:textId="4D9FA5C2" w:rsidR="00FC7053" w:rsidRPr="008D72B4" w:rsidRDefault="00FC7053" w:rsidP="004867C5">
      <w:pPr>
        <w:pStyle w:val="PSCHeading1"/>
      </w:pPr>
      <w:bookmarkStart w:id="42" w:name="_Toc145926886"/>
      <w:r w:rsidRPr="008D72B4">
        <w:lastRenderedPageBreak/>
        <w:t>Letter of compliance</w:t>
      </w:r>
      <w:bookmarkEnd w:id="37"/>
      <w:bookmarkEnd w:id="38"/>
      <w:bookmarkEnd w:id="39"/>
      <w:bookmarkEnd w:id="40"/>
      <w:bookmarkEnd w:id="41"/>
      <w:bookmarkEnd w:id="42"/>
    </w:p>
    <w:p w14:paraId="4DEE4FAC" w14:textId="0B117C05" w:rsidR="00AE0EF0" w:rsidRDefault="00E80C67" w:rsidP="00BB1AAE">
      <w:pPr>
        <w:pStyle w:val="PSC-Body"/>
      </w:pPr>
      <w:r>
        <w:t>29</w:t>
      </w:r>
      <w:r w:rsidR="008A56F0">
        <w:t xml:space="preserve"> September 202</w:t>
      </w:r>
      <w:r w:rsidR="67244E91">
        <w:t>3</w:t>
      </w:r>
    </w:p>
    <w:p w14:paraId="46D2E00E" w14:textId="77777777" w:rsidR="00953C63" w:rsidRDefault="00953C63" w:rsidP="00BB1AAE">
      <w:pPr>
        <w:pStyle w:val="PSC-Body"/>
      </w:pPr>
    </w:p>
    <w:p w14:paraId="4B12FC9B" w14:textId="6BD992AC" w:rsidR="00953C63" w:rsidRDefault="00FC7053" w:rsidP="00BB1AAE">
      <w:pPr>
        <w:pStyle w:val="PSC-Body"/>
      </w:pPr>
      <w:r w:rsidRPr="008A56F0">
        <w:t xml:space="preserve">The Honourable Annastacia Palaszczuk MP </w:t>
      </w:r>
      <w:r w:rsidR="00C15FC4">
        <w:br/>
      </w:r>
      <w:r w:rsidRPr="00BB1AAE">
        <w:t xml:space="preserve">Premier and Minister for </w:t>
      </w:r>
      <w:r w:rsidR="6D196C7D" w:rsidRPr="00BB1AAE">
        <w:t>the Olympics</w:t>
      </w:r>
      <w:r w:rsidR="64BA27CB" w:rsidRPr="00BB1AAE">
        <w:t xml:space="preserve"> and Paralympic Games</w:t>
      </w:r>
      <w:r w:rsidR="00BB1AAE" w:rsidRPr="00BB1AAE">
        <w:br/>
      </w:r>
      <w:r w:rsidRPr="00BB1AAE">
        <w:t>Level 40, 1 William Street</w:t>
      </w:r>
      <w:r w:rsidR="00BB1AAE" w:rsidRPr="00BB1AAE">
        <w:br/>
      </w:r>
      <w:r w:rsidRPr="00BB1AAE">
        <w:t>Brisbane Qld 4000</w:t>
      </w:r>
    </w:p>
    <w:p w14:paraId="13763485" w14:textId="77777777" w:rsidR="00953C63" w:rsidRDefault="00953C63" w:rsidP="007A1A83">
      <w:pPr>
        <w:spacing w:after="0"/>
      </w:pPr>
    </w:p>
    <w:p w14:paraId="29D043DF" w14:textId="4456FE88" w:rsidR="00953C63" w:rsidRDefault="00FC7053" w:rsidP="002A2E7D">
      <w:pPr>
        <w:pStyle w:val="PSC-Body"/>
      </w:pPr>
      <w:r>
        <w:t xml:space="preserve">Dear </w:t>
      </w:r>
      <w:r w:rsidR="00AE0EF0">
        <w:t>Premier</w:t>
      </w:r>
    </w:p>
    <w:p w14:paraId="6A078346" w14:textId="4B56194C" w:rsidR="00953C63" w:rsidRDefault="00FC7053" w:rsidP="002A2E7D">
      <w:pPr>
        <w:pStyle w:val="PSC-Body"/>
      </w:pPr>
      <w:r>
        <w:t>I am pleased to submit for presentation to the Parliament the annual report 202</w:t>
      </w:r>
      <w:r w:rsidR="1AF035AD">
        <w:t>2</w:t>
      </w:r>
      <w:r>
        <w:t>–2</w:t>
      </w:r>
      <w:r w:rsidR="19272F01">
        <w:t>3</w:t>
      </w:r>
      <w:r w:rsidR="0092728D">
        <w:t xml:space="preserve"> </w:t>
      </w:r>
      <w:r>
        <w:t>and financial statements for the Public Se</w:t>
      </w:r>
      <w:r w:rsidR="00726CA6">
        <w:t>ctor</w:t>
      </w:r>
      <w:r>
        <w:t xml:space="preserve"> Commission.</w:t>
      </w:r>
    </w:p>
    <w:p w14:paraId="0DEE3FBD" w14:textId="35C88E4A" w:rsidR="00FC7053" w:rsidRPr="00C00915" w:rsidRDefault="00FC7053" w:rsidP="002A2E7D">
      <w:pPr>
        <w:pStyle w:val="PSC-Body"/>
      </w:pPr>
      <w:r w:rsidRPr="00C00915">
        <w:t>I certify that this annual report complies with the:</w:t>
      </w:r>
    </w:p>
    <w:p w14:paraId="080FFCEC" w14:textId="37867E81" w:rsidR="00FC7053" w:rsidRPr="008324BD" w:rsidRDefault="00FC7053" w:rsidP="00934653">
      <w:pPr>
        <w:pStyle w:val="PSC-Bullets1"/>
      </w:pPr>
      <w:r w:rsidRPr="008324BD">
        <w:t xml:space="preserve">prescribed requirements of the </w:t>
      </w:r>
      <w:r w:rsidRPr="6D196C7D">
        <w:rPr>
          <w:i/>
        </w:rPr>
        <w:t>Financial Accountability Act 2009</w:t>
      </w:r>
      <w:r w:rsidRPr="008324BD">
        <w:t xml:space="preserve"> and the Financial and Performance Management Standard 20</w:t>
      </w:r>
      <w:r w:rsidR="009017D1" w:rsidRPr="008324BD">
        <w:t>1</w:t>
      </w:r>
      <w:r w:rsidRPr="008324BD">
        <w:t>9, and</w:t>
      </w:r>
    </w:p>
    <w:p w14:paraId="1C918E8E" w14:textId="480D2C14" w:rsidR="002A2E7D" w:rsidRPr="008324BD" w:rsidRDefault="00FC7053" w:rsidP="002A2E7D">
      <w:pPr>
        <w:pStyle w:val="PSC-Bullets1"/>
      </w:pPr>
      <w:r w:rsidRPr="008324BD">
        <w:t>detailed requirements set out in the Annual report requirements for Queensland Government agencies.</w:t>
      </w:r>
    </w:p>
    <w:p w14:paraId="126707EA" w14:textId="63B30E73" w:rsidR="00953C63" w:rsidRDefault="00FC7053" w:rsidP="002A2E7D">
      <w:pPr>
        <w:pStyle w:val="PSC-Body"/>
      </w:pPr>
      <w:r>
        <w:t xml:space="preserve">A checklist outlining the annual reporting requirements is on page </w:t>
      </w:r>
      <w:r w:rsidR="00E80C67">
        <w:t>46</w:t>
      </w:r>
      <w:r w:rsidR="00DD776C">
        <w:t xml:space="preserve"> </w:t>
      </w:r>
      <w:r>
        <w:t>of this annual report.</w:t>
      </w:r>
    </w:p>
    <w:p w14:paraId="56CABE87" w14:textId="781B9752" w:rsidR="001427DC" w:rsidRDefault="00FC7053" w:rsidP="002A2E7D">
      <w:pPr>
        <w:pStyle w:val="PSC-Body"/>
      </w:pPr>
      <w:r>
        <w:t>Yours sincerely</w:t>
      </w:r>
    </w:p>
    <w:p w14:paraId="20F2263E" w14:textId="77777777" w:rsidR="00BB6524" w:rsidRDefault="00BB6524" w:rsidP="007A1A83">
      <w:pPr>
        <w:spacing w:after="0"/>
      </w:pPr>
    </w:p>
    <w:p w14:paraId="0B912C92" w14:textId="2C0F76F8" w:rsidR="3CFBE5A7" w:rsidRDefault="00BB6524" w:rsidP="3CFBE5A7">
      <w:pPr>
        <w:spacing w:after="0"/>
      </w:pPr>
      <w:r>
        <w:rPr>
          <w:noProof/>
        </w:rPr>
        <w:drawing>
          <wp:inline distT="0" distB="0" distL="0" distR="0" wp14:anchorId="6853C1C9" wp14:editId="21AEAAB4">
            <wp:extent cx="2492012" cy="672764"/>
            <wp:effectExtent l="0" t="0" r="3810" b="0"/>
            <wp:docPr id="290758919" name="Picture 290758919" descr="Public Sector Commissioner David Mackie's signatur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758919" name="Picture 290758919" descr="Public Sector Commissioner David Mackie's signature&#10;"/>
                    <pic:cNvPicPr/>
                  </pic:nvPicPr>
                  <pic:blipFill rotWithShape="1">
                    <a:blip r:embed="rId24" cstate="print"/>
                    <a:srcRect t="2288" b="-2"/>
                    <a:stretch/>
                  </pic:blipFill>
                  <pic:spPr bwMode="auto">
                    <a:xfrm>
                      <a:off x="0" y="0"/>
                      <a:ext cx="2495265" cy="673642"/>
                    </a:xfrm>
                    <a:prstGeom prst="rect">
                      <a:avLst/>
                    </a:prstGeom>
                    <a:ln>
                      <a:noFill/>
                    </a:ln>
                    <a:extLst>
                      <a:ext uri="{53640926-AAD7-44D8-BBD7-CCE9431645EC}">
                        <a14:shadowObscured xmlns:a14="http://schemas.microsoft.com/office/drawing/2010/main"/>
                      </a:ext>
                    </a:extLst>
                  </pic:spPr>
                </pic:pic>
              </a:graphicData>
            </a:graphic>
          </wp:inline>
        </w:drawing>
      </w:r>
    </w:p>
    <w:p w14:paraId="657B6845" w14:textId="77777777" w:rsidR="00BB6524" w:rsidRDefault="00BB6524" w:rsidP="3CFBE5A7">
      <w:pPr>
        <w:spacing w:after="0"/>
        <w:rPr>
          <w:b/>
          <w:bCs/>
        </w:rPr>
      </w:pPr>
    </w:p>
    <w:p w14:paraId="5A1025F8" w14:textId="789ACB6F" w:rsidR="24D4395A" w:rsidRDefault="24D4395A" w:rsidP="3CFBE5A7">
      <w:pPr>
        <w:spacing w:after="0"/>
      </w:pPr>
      <w:r w:rsidRPr="3CFBE5A7">
        <w:rPr>
          <w:b/>
          <w:bCs/>
        </w:rPr>
        <w:t>David Mackie</w:t>
      </w:r>
    </w:p>
    <w:p w14:paraId="1FAB7284" w14:textId="7F29D6ED" w:rsidR="00953C63" w:rsidRDefault="008F0B7A" w:rsidP="007A1A83">
      <w:pPr>
        <w:spacing w:after="0"/>
      </w:pPr>
      <w:r>
        <w:t>Public Sector Commissioner</w:t>
      </w:r>
    </w:p>
    <w:p w14:paraId="05DE3912" w14:textId="097EA6D8" w:rsidR="00A41CBA" w:rsidRDefault="00FC7053" w:rsidP="00810F7A">
      <w:pPr>
        <w:spacing w:after="0"/>
      </w:pPr>
      <w:r w:rsidRPr="00C00915">
        <w:t>Public Se</w:t>
      </w:r>
      <w:r w:rsidR="00A53689">
        <w:t>ctor</w:t>
      </w:r>
      <w:r w:rsidRPr="00C00915">
        <w:t xml:space="preserve"> Commissio</w:t>
      </w:r>
      <w:r w:rsidR="002F0767">
        <w:t>n</w:t>
      </w:r>
      <w:bookmarkStart w:id="43" w:name="_Hlk105589810"/>
      <w:bookmarkStart w:id="44" w:name="_Hlk78364231"/>
      <w:bookmarkStart w:id="45" w:name="_Toc79493344"/>
      <w:bookmarkStart w:id="46" w:name="_Hlk79486166"/>
    </w:p>
    <w:p w14:paraId="77BBD39D" w14:textId="7A6BB0F2" w:rsidR="00810F7A" w:rsidRDefault="00810F7A" w:rsidP="00810F7A">
      <w:pPr>
        <w:spacing w:after="0"/>
      </w:pPr>
      <w:r>
        <w:br w:type="page"/>
      </w:r>
    </w:p>
    <w:p w14:paraId="0811D63B" w14:textId="2CC80BB4" w:rsidR="00C31F43" w:rsidRPr="000D5362" w:rsidRDefault="00C31F43" w:rsidP="002271A3">
      <w:pPr>
        <w:pStyle w:val="PSCHeading1"/>
      </w:pPr>
      <w:bookmarkStart w:id="47" w:name="_Toc145926887"/>
      <w:r w:rsidRPr="6C94D45A">
        <w:lastRenderedPageBreak/>
        <w:t>Chairperson</w:t>
      </w:r>
      <w:r w:rsidR="10DC0F16" w:rsidRPr="6C94D45A">
        <w:t>’s</w:t>
      </w:r>
      <w:r w:rsidRPr="6C94D45A">
        <w:t xml:space="preserve"> message</w:t>
      </w:r>
      <w:bookmarkEnd w:id="47"/>
    </w:p>
    <w:bookmarkEnd w:id="43"/>
    <w:p w14:paraId="3465146F" w14:textId="68B41296" w:rsidR="00BD2D37" w:rsidRPr="00063545" w:rsidRDefault="00BD2D37" w:rsidP="00BD2D37">
      <w:pPr>
        <w:rPr>
          <w:rFonts w:cs="Arial"/>
        </w:rPr>
      </w:pPr>
      <w:r w:rsidRPr="00063545">
        <w:rPr>
          <w:rFonts w:cs="Arial"/>
        </w:rPr>
        <w:t>The Public Sector Commission (the Commission) embarked on a new chapter in 2022</w:t>
      </w:r>
      <w:r w:rsidR="002E448E">
        <w:rPr>
          <w:rFonts w:cs="Arial"/>
        </w:rPr>
        <w:t>–</w:t>
      </w:r>
      <w:r w:rsidRPr="00063545">
        <w:rPr>
          <w:rFonts w:cs="Arial"/>
        </w:rPr>
        <w:t xml:space="preserve">23 with the commencement of the </w:t>
      </w:r>
      <w:r w:rsidRPr="00063545">
        <w:rPr>
          <w:rFonts w:cs="Arial"/>
          <w:i/>
          <w:iCs/>
        </w:rPr>
        <w:t xml:space="preserve">Public Sector Act 2022 </w:t>
      </w:r>
      <w:r w:rsidRPr="00063545">
        <w:rPr>
          <w:rFonts w:cs="Arial"/>
        </w:rPr>
        <w:t xml:space="preserve">(the Act), </w:t>
      </w:r>
      <w:r>
        <w:rPr>
          <w:rFonts w:cs="Arial"/>
        </w:rPr>
        <w:t xml:space="preserve">resulting in </w:t>
      </w:r>
      <w:r w:rsidRPr="00063545">
        <w:rPr>
          <w:rFonts w:cs="Arial"/>
        </w:rPr>
        <w:t xml:space="preserve">a new name, a new role and new leadership under </w:t>
      </w:r>
      <w:r>
        <w:rPr>
          <w:rFonts w:cs="Arial"/>
        </w:rPr>
        <w:t>Public Sector</w:t>
      </w:r>
      <w:r w:rsidRPr="00063545">
        <w:rPr>
          <w:rFonts w:cs="Arial"/>
        </w:rPr>
        <w:t xml:space="preserve"> Commissioner David Mackie. </w:t>
      </w:r>
    </w:p>
    <w:p w14:paraId="24CDA4F7" w14:textId="77777777" w:rsidR="00BD2D37" w:rsidRPr="00063545" w:rsidRDefault="00BD2D37" w:rsidP="00BD2D37">
      <w:pPr>
        <w:rPr>
          <w:rFonts w:cs="Arial"/>
        </w:rPr>
      </w:pPr>
      <w:r w:rsidRPr="00063545">
        <w:rPr>
          <w:rFonts w:cs="Arial"/>
        </w:rPr>
        <w:t xml:space="preserve">During this time of change the Commission has continued to provide system leadership and stewardship of Queensland’s public sector workforce by guiding agencies to manage complex workforce issues in a dynamic environment. </w:t>
      </w:r>
    </w:p>
    <w:p w14:paraId="003E6BE1" w14:textId="77777777" w:rsidR="00BD2D37" w:rsidRPr="00063545" w:rsidRDefault="00BD2D37" w:rsidP="00BD2D37">
      <w:pPr>
        <w:rPr>
          <w:rFonts w:cs="Arial"/>
        </w:rPr>
      </w:pPr>
      <w:r w:rsidRPr="00063545">
        <w:rPr>
          <w:rFonts w:cs="Arial"/>
        </w:rPr>
        <w:t>They have supported agencies to:</w:t>
      </w:r>
    </w:p>
    <w:p w14:paraId="75BD4989" w14:textId="77777777" w:rsidR="00BD2D37" w:rsidRPr="00063545" w:rsidRDefault="00BD2D37" w:rsidP="00530E58">
      <w:pPr>
        <w:pStyle w:val="PSC-Bullets1"/>
      </w:pPr>
      <w:r w:rsidRPr="00063545">
        <w:t xml:space="preserve">embed the new Act with supporting directives and </w:t>
      </w:r>
      <w:proofErr w:type="gramStart"/>
      <w:r w:rsidRPr="00063545">
        <w:t>resources</w:t>
      </w:r>
      <w:proofErr w:type="gramEnd"/>
    </w:p>
    <w:p w14:paraId="79BB12D1" w14:textId="77777777" w:rsidR="00BD2D37" w:rsidRPr="00063545" w:rsidRDefault="00BD2D37" w:rsidP="00530E58">
      <w:pPr>
        <w:pStyle w:val="PSC-Bullets1"/>
      </w:pPr>
      <w:r w:rsidRPr="00063545">
        <w:t xml:space="preserve">improve flexible and hybrid working </w:t>
      </w:r>
      <w:proofErr w:type="gramStart"/>
      <w:r w:rsidRPr="00063545">
        <w:t>practices</w:t>
      </w:r>
      <w:proofErr w:type="gramEnd"/>
    </w:p>
    <w:p w14:paraId="18CDC281" w14:textId="77777777" w:rsidR="00BD2D37" w:rsidRDefault="00BD2D37" w:rsidP="00530E58">
      <w:pPr>
        <w:pStyle w:val="PSC-Bullets1"/>
      </w:pPr>
      <w:r w:rsidRPr="00063545">
        <w:t>strengthen cultural capability across the sector.</w:t>
      </w:r>
    </w:p>
    <w:p w14:paraId="28AB9BF7" w14:textId="77777777" w:rsidR="00BD2D37" w:rsidRPr="00063545" w:rsidRDefault="00BD2D37" w:rsidP="00BD2D37">
      <w:pPr>
        <w:rPr>
          <w:rStyle w:val="normaltextrun"/>
          <w:rFonts w:cs="Arial"/>
          <w:color w:val="000000"/>
        </w:rPr>
      </w:pPr>
      <w:r w:rsidRPr="00063545">
        <w:rPr>
          <w:rFonts w:cs="Arial"/>
        </w:rPr>
        <w:t xml:space="preserve">The recommendations from the </w:t>
      </w:r>
      <w:r>
        <w:rPr>
          <w:rFonts w:cs="Arial"/>
        </w:rPr>
        <w:t xml:space="preserve">review of public sector employment laws - </w:t>
      </w:r>
      <w:r w:rsidRPr="002B55E9">
        <w:rPr>
          <w:rFonts w:cs="Arial"/>
          <w:i/>
          <w:iCs/>
        </w:rPr>
        <w:t>A Fair and Responsive Public Service for All</w:t>
      </w:r>
      <w:r>
        <w:rPr>
          <w:rFonts w:cs="Arial"/>
        </w:rPr>
        <w:t xml:space="preserve"> (the </w:t>
      </w:r>
      <w:r w:rsidRPr="00063545">
        <w:rPr>
          <w:rFonts w:cs="Arial"/>
        </w:rPr>
        <w:t>Bridgman Review</w:t>
      </w:r>
      <w:r>
        <w:rPr>
          <w:rFonts w:cs="Arial"/>
        </w:rPr>
        <w:t>)</w:t>
      </w:r>
      <w:r w:rsidRPr="00063545">
        <w:rPr>
          <w:rFonts w:cs="Arial"/>
        </w:rPr>
        <w:t xml:space="preserve"> and Professor Peter </w:t>
      </w:r>
      <w:proofErr w:type="spellStart"/>
      <w:r w:rsidRPr="00063545">
        <w:rPr>
          <w:rFonts w:cs="Arial"/>
        </w:rPr>
        <w:t>Coaldrake’s</w:t>
      </w:r>
      <w:proofErr w:type="spellEnd"/>
      <w:r w:rsidRPr="00063545">
        <w:rPr>
          <w:rFonts w:cs="Arial"/>
        </w:rPr>
        <w:t xml:space="preserve"> </w:t>
      </w:r>
      <w:r w:rsidRPr="00063545">
        <w:rPr>
          <w:rFonts w:cs="Arial"/>
          <w:i/>
          <w:iCs/>
        </w:rPr>
        <w:t>Review of culture and accountability in the Queensland public sector</w:t>
      </w:r>
      <w:r w:rsidRPr="00063545">
        <w:rPr>
          <w:rFonts w:cs="Arial"/>
        </w:rPr>
        <w:t xml:space="preserve">, have served as a catalyst for the Commission to strengthen the capability and capacity of the Queensland public sector using additional funding provided by the Queensland Government over the next five years. This additional funding will help the Commission to fulfil its role under the Act and support </w:t>
      </w:r>
      <w:r w:rsidRPr="00063545">
        <w:rPr>
          <w:rStyle w:val="normaltextrun"/>
          <w:rFonts w:cs="Arial"/>
        </w:rPr>
        <w:t xml:space="preserve">an even better public sector for Queensland. </w:t>
      </w:r>
    </w:p>
    <w:p w14:paraId="5A8B290C" w14:textId="4355E44E" w:rsidR="00BD2D37" w:rsidRPr="00063545" w:rsidRDefault="00BD2D37" w:rsidP="00BD2D37">
      <w:pPr>
        <w:rPr>
          <w:rFonts w:cs="Arial"/>
        </w:rPr>
      </w:pPr>
      <w:r w:rsidRPr="00063545">
        <w:rPr>
          <w:rFonts w:cs="Arial"/>
        </w:rPr>
        <w:t xml:space="preserve">Working in partnership with the Department of the Premier and Cabinet (DPC), Queensland Treasury (QT) and the Chief Executive Leadership Board, the Commission has contributed significantly to implementing a modern employment framework to lift the sector’s capacity and capability to effectively serve the community. A significant achievement of the employment framework this year has been the investment in workplace culture initiatives to embed contemporary recruitment and selection practices </w:t>
      </w:r>
      <w:r>
        <w:rPr>
          <w:rFonts w:cs="Arial"/>
        </w:rPr>
        <w:t>to further develop</w:t>
      </w:r>
      <w:r w:rsidRPr="00063545">
        <w:rPr>
          <w:rFonts w:cs="Arial"/>
        </w:rPr>
        <w:t xml:space="preserve"> our diverse workforce.</w:t>
      </w:r>
    </w:p>
    <w:p w14:paraId="27B294CB" w14:textId="756ED328" w:rsidR="00BD2D37" w:rsidRPr="00063545" w:rsidRDefault="00BD2D37" w:rsidP="00BD2D37">
      <w:pPr>
        <w:rPr>
          <w:rStyle w:val="normaltextrun"/>
          <w:rFonts w:cs="Arial"/>
        </w:rPr>
      </w:pPr>
      <w:r w:rsidRPr="00063545">
        <w:rPr>
          <w:rStyle w:val="normaltextrun"/>
          <w:rFonts w:cs="Arial"/>
        </w:rPr>
        <w:t xml:space="preserve">The Queensland Government’s commitment to reframing the relationship with Aboriginal and Torres Strait Islander peoples </w:t>
      </w:r>
      <w:r>
        <w:rPr>
          <w:rStyle w:val="normaltextrun"/>
          <w:rFonts w:cs="Arial"/>
        </w:rPr>
        <w:t xml:space="preserve">has also been </w:t>
      </w:r>
      <w:r w:rsidR="00256562">
        <w:rPr>
          <w:rStyle w:val="normaltextrun"/>
          <w:rFonts w:cs="Arial"/>
        </w:rPr>
        <w:t>e</w:t>
      </w:r>
      <w:r w:rsidRPr="00063545">
        <w:rPr>
          <w:rStyle w:val="normaltextrun"/>
          <w:rFonts w:cs="Arial"/>
        </w:rPr>
        <w:t xml:space="preserve">mbedded in the Act. This commitment will be further strengthened by the critical role the Commission has played in establishing a culturally capable public sector that ensures fairness in employment and treatment of employees. </w:t>
      </w:r>
    </w:p>
    <w:p w14:paraId="0902E4A6" w14:textId="77777777" w:rsidR="00BD2D37" w:rsidRPr="00063545" w:rsidRDefault="00BD2D37" w:rsidP="00BD2D37">
      <w:pPr>
        <w:rPr>
          <w:rFonts w:cs="Arial"/>
        </w:rPr>
      </w:pPr>
      <w:r w:rsidRPr="00063545">
        <w:rPr>
          <w:rFonts w:cs="Arial"/>
        </w:rPr>
        <w:t>A significant shift in the Commission’s leadership and governance structure was implemented this year with the introduction of the Public Sector Governance Council</w:t>
      </w:r>
      <w:r>
        <w:rPr>
          <w:rFonts w:cs="Arial"/>
        </w:rPr>
        <w:t>,</w:t>
      </w:r>
      <w:r w:rsidRPr="00063545">
        <w:rPr>
          <w:rFonts w:cs="Arial"/>
        </w:rPr>
        <w:t xml:space="preserve"> which replaces the Public Service Commission Board. The Council provides system leadership and stewardship, while overseeing public sector performance and governance. For the first time, the Council will include two community members who, once appointed, will provide an important external to government perspective on Queensland’s public sector. </w:t>
      </w:r>
    </w:p>
    <w:p w14:paraId="4F0A70EC" w14:textId="77777777" w:rsidR="00BD2D37" w:rsidRPr="00063545" w:rsidRDefault="00BD2D37" w:rsidP="00BD2D37">
      <w:pPr>
        <w:rPr>
          <w:rFonts w:cs="Arial"/>
        </w:rPr>
      </w:pPr>
      <w:r w:rsidRPr="00063545">
        <w:rPr>
          <w:rFonts w:cs="Arial"/>
        </w:rPr>
        <w:t xml:space="preserve">I look forward to working with the Commission throughout this exciting new chapter.  </w:t>
      </w:r>
    </w:p>
    <w:p w14:paraId="15DE71EF" w14:textId="2C594C75" w:rsidR="00D0215A" w:rsidRDefault="00D0215A" w:rsidP="00671574"/>
    <w:p w14:paraId="76AF5DFB" w14:textId="64780B76" w:rsidR="004465D9" w:rsidRDefault="00671574" w:rsidP="00161AD2">
      <w:r w:rsidRPr="49BF3F54">
        <w:rPr>
          <w:rFonts w:eastAsia="Arial" w:cs="Arial"/>
          <w:b/>
        </w:rPr>
        <w:t>Rachel Hunter</w:t>
      </w:r>
      <w:r>
        <w:br/>
      </w:r>
      <w:r w:rsidRPr="49BF3F54">
        <w:rPr>
          <w:rFonts w:eastAsia="Arial" w:cs="Arial"/>
        </w:rPr>
        <w:t xml:space="preserve">Chairperson </w:t>
      </w:r>
      <w:r>
        <w:br/>
      </w:r>
      <w:r w:rsidR="00D54A94">
        <w:t xml:space="preserve">Public Sector </w:t>
      </w:r>
      <w:r w:rsidR="00D54A94" w:rsidRPr="002F496B">
        <w:t>Governance Council</w:t>
      </w:r>
      <w:bookmarkStart w:id="48" w:name="_Hlk105589887"/>
      <w:bookmarkStart w:id="49" w:name="OLE_LINK1"/>
      <w:bookmarkStart w:id="50" w:name="OLE_LINK2"/>
      <w:bookmarkEnd w:id="44"/>
      <w:bookmarkEnd w:id="45"/>
      <w:bookmarkEnd w:id="46"/>
    </w:p>
    <w:p w14:paraId="072AE50E" w14:textId="77777777" w:rsidR="00814BC6" w:rsidRDefault="00814BC6" w:rsidP="00161AD2"/>
    <w:p w14:paraId="0A877151" w14:textId="1B2AFE3F" w:rsidR="004465D9" w:rsidRDefault="004465D9" w:rsidP="00161AD2">
      <w:r>
        <w:br w:type="page"/>
      </w:r>
    </w:p>
    <w:p w14:paraId="2CEFDA09" w14:textId="468EFDE7" w:rsidR="00C31F43" w:rsidRPr="00D54A94" w:rsidRDefault="00C31F43" w:rsidP="00C62C1E">
      <w:pPr>
        <w:pStyle w:val="PSCHeading1"/>
      </w:pPr>
      <w:bookmarkStart w:id="51" w:name="_Toc145926888"/>
      <w:r w:rsidRPr="00D54A94">
        <w:lastRenderedPageBreak/>
        <w:t>Public Sector Commissioner message</w:t>
      </w:r>
      <w:bookmarkEnd w:id="51"/>
    </w:p>
    <w:p w14:paraId="250ABB41" w14:textId="086818DF" w:rsidR="00B5295F" w:rsidRDefault="00B5295F" w:rsidP="00C62C1E">
      <w:pPr>
        <w:pStyle w:val="PSC-Body"/>
      </w:pPr>
      <w:r>
        <w:t>Th</w:t>
      </w:r>
      <w:r w:rsidR="3BCB01E7">
        <w:t xml:space="preserve">is has been a </w:t>
      </w:r>
      <w:r w:rsidR="685990FB">
        <w:t xml:space="preserve">year of change for the Public Sector Commission (the Commission). </w:t>
      </w:r>
      <w:r w:rsidR="3C4B2247">
        <w:t xml:space="preserve">The new </w:t>
      </w:r>
      <w:r w:rsidR="3C4B2247" w:rsidRPr="29D83A1A">
        <w:rPr>
          <w:i/>
          <w:iCs/>
        </w:rPr>
        <w:t>Public Sector Act 2022</w:t>
      </w:r>
      <w:r w:rsidR="3C4B2247">
        <w:t xml:space="preserve"> was passed by Parliament last year and commenced on 1 March 2023</w:t>
      </w:r>
      <w:r w:rsidR="69B4C7CF">
        <w:t>. Its</w:t>
      </w:r>
      <w:r w:rsidR="6CCCE740">
        <w:t xml:space="preserve"> purpose </w:t>
      </w:r>
      <w:r w:rsidR="043E879E">
        <w:t xml:space="preserve">is </w:t>
      </w:r>
      <w:r w:rsidR="6CCCE740">
        <w:t xml:space="preserve">to provide a framework for a fair and integrated public sector that serves the people of Queensland and the </w:t>
      </w:r>
      <w:r w:rsidR="00727D54">
        <w:t>s</w:t>
      </w:r>
      <w:r w:rsidR="6CCCE740">
        <w:t xml:space="preserve">tate. </w:t>
      </w:r>
      <w:r w:rsidR="015B523A">
        <w:t>It represents transformational change for Queensland’s public sector</w:t>
      </w:r>
      <w:r w:rsidR="00360CED">
        <w:t>,</w:t>
      </w:r>
      <w:r w:rsidR="015B523A">
        <w:t xml:space="preserve"> introducing concepts of a spirit of service to the community and shared responsibility for stewardship of the sect</w:t>
      </w:r>
      <w:r w:rsidR="3AD8093D">
        <w:t xml:space="preserve">or between the Commissioner, the new Public Sector Governance Council and </w:t>
      </w:r>
      <w:r w:rsidR="2AF10E04">
        <w:t xml:space="preserve">Directors-General. </w:t>
      </w:r>
    </w:p>
    <w:p w14:paraId="707B3178" w14:textId="76559452" w:rsidR="488E3938" w:rsidRDefault="00A044D5" w:rsidP="00C62C1E">
      <w:pPr>
        <w:pStyle w:val="PSC-Body"/>
      </w:pPr>
      <w:r>
        <w:t>The</w:t>
      </w:r>
      <w:r w:rsidR="488E3938">
        <w:t xml:space="preserve"> Commission has</w:t>
      </w:r>
      <w:r>
        <w:t xml:space="preserve"> also</w:t>
      </w:r>
      <w:r w:rsidR="488E3938">
        <w:t xml:space="preserve"> experience</w:t>
      </w:r>
      <w:r w:rsidR="1FC07FEB">
        <w:t>d</w:t>
      </w:r>
      <w:r w:rsidR="488E3938">
        <w:t xml:space="preserve"> a change in leadership with </w:t>
      </w:r>
      <w:r>
        <w:t xml:space="preserve">my arrival following the </w:t>
      </w:r>
      <w:r w:rsidR="488E3938">
        <w:t>outgoing Commissioner</w:t>
      </w:r>
      <w:r w:rsidR="00C04DDA">
        <w:t>,</w:t>
      </w:r>
      <w:r w:rsidR="488E3938">
        <w:t xml:space="preserve"> Rob Setter</w:t>
      </w:r>
      <w:r w:rsidR="00C04DDA">
        <w:t>,</w:t>
      </w:r>
      <w:r w:rsidR="488E3938">
        <w:t xml:space="preserve"> retiring earlier this year</w:t>
      </w:r>
      <w:r w:rsidR="0201F88E">
        <w:t>.</w:t>
      </w:r>
      <w:r w:rsidR="00024F3A">
        <w:t xml:space="preserve"> </w:t>
      </w:r>
      <w:r w:rsidR="0201F88E">
        <w:t>I extend my</w:t>
      </w:r>
      <w:r w:rsidR="00ED7D82">
        <w:t xml:space="preserve"> sincere</w:t>
      </w:r>
      <w:r w:rsidR="0201F88E">
        <w:t xml:space="preserve"> thanks to Rob for his stewardship of the Commission since 2015</w:t>
      </w:r>
      <w:r w:rsidR="00ED6747">
        <w:t xml:space="preserve"> and</w:t>
      </w:r>
      <w:r w:rsidR="0201F88E">
        <w:t xml:space="preserve"> thank the </w:t>
      </w:r>
      <w:r w:rsidR="00E41D18">
        <w:t xml:space="preserve">Commission </w:t>
      </w:r>
      <w:r w:rsidR="0201F88E">
        <w:t xml:space="preserve">team for </w:t>
      </w:r>
      <w:r w:rsidR="00A01E33">
        <w:t>their</w:t>
      </w:r>
      <w:r w:rsidR="0201F88E">
        <w:t xml:space="preserve"> warm welcome</w:t>
      </w:r>
      <w:r w:rsidR="00B92B3E">
        <w:t>.</w:t>
      </w:r>
    </w:p>
    <w:p w14:paraId="69812256" w14:textId="0A018852" w:rsidR="006C4E04" w:rsidRDefault="000F48E8" w:rsidP="00C62C1E">
      <w:pPr>
        <w:pStyle w:val="PSC-Body"/>
      </w:pPr>
      <w:r>
        <w:t>The i</w:t>
      </w:r>
      <w:r w:rsidR="00C33E3E">
        <w:t xml:space="preserve">mplementation of the </w:t>
      </w:r>
      <w:r w:rsidR="0070408C">
        <w:t>Act</w:t>
      </w:r>
      <w:r w:rsidR="004740A3" w:rsidRPr="29D83A1A">
        <w:rPr>
          <w:i/>
          <w:iCs/>
        </w:rPr>
        <w:t xml:space="preserve"> </w:t>
      </w:r>
      <w:r w:rsidR="00901E6E">
        <w:t xml:space="preserve">has </w:t>
      </w:r>
      <w:r w:rsidR="00C91011">
        <w:t xml:space="preserve">strengthened </w:t>
      </w:r>
      <w:r w:rsidR="00B92B3E">
        <w:t>the Commission</w:t>
      </w:r>
      <w:r w:rsidR="00CD29EA">
        <w:t>’</w:t>
      </w:r>
      <w:r w:rsidR="00B92B3E">
        <w:t>s</w:t>
      </w:r>
      <w:r w:rsidR="00C91011">
        <w:t xml:space="preserve"> role as a systems leader</w:t>
      </w:r>
      <w:r w:rsidR="00646C7A">
        <w:t xml:space="preserve">, </w:t>
      </w:r>
      <w:proofErr w:type="gramStart"/>
      <w:r w:rsidR="00646C7A">
        <w:t>steward</w:t>
      </w:r>
      <w:proofErr w:type="gramEnd"/>
      <w:r w:rsidR="00646C7A">
        <w:t xml:space="preserve"> and enabler</w:t>
      </w:r>
      <w:r w:rsidR="00133FC9">
        <w:t>.</w:t>
      </w:r>
      <w:r w:rsidR="00D01723">
        <w:t xml:space="preserve"> Whil</w:t>
      </w:r>
      <w:r w:rsidR="182376BA">
        <w:t>e</w:t>
      </w:r>
      <w:r w:rsidR="00D01723">
        <w:t xml:space="preserve"> our role within the public sector has grown, we continue to work hard to drive positive change</w:t>
      </w:r>
      <w:r w:rsidR="000F0907">
        <w:t xml:space="preserve"> across organisations and </w:t>
      </w:r>
      <w:r w:rsidR="00845730">
        <w:t xml:space="preserve">to our </w:t>
      </w:r>
      <w:r w:rsidR="000F0907">
        <w:t>e</w:t>
      </w:r>
      <w:r w:rsidR="00845730">
        <w:t>mployee workforce</w:t>
      </w:r>
      <w:r w:rsidR="006B1648">
        <w:t xml:space="preserve"> w</w:t>
      </w:r>
      <w:r w:rsidR="00282B90">
        <w:t xml:space="preserve">ith the </w:t>
      </w:r>
      <w:proofErr w:type="gramStart"/>
      <w:r w:rsidR="00282B90">
        <w:t>ultimate aim</w:t>
      </w:r>
      <w:proofErr w:type="gramEnd"/>
      <w:r w:rsidR="00282B90">
        <w:t xml:space="preserve"> </w:t>
      </w:r>
      <w:r w:rsidR="00A95BF7">
        <w:t>of</w:t>
      </w:r>
      <w:r w:rsidR="00282B90">
        <w:t xml:space="preserve"> </w:t>
      </w:r>
      <w:r w:rsidR="00C75824">
        <w:t>improv</w:t>
      </w:r>
      <w:r w:rsidR="00A95BF7">
        <w:t>ing</w:t>
      </w:r>
      <w:r w:rsidR="00282B90">
        <w:t xml:space="preserve"> </w:t>
      </w:r>
      <w:r w:rsidR="00575344">
        <w:t xml:space="preserve">services and </w:t>
      </w:r>
      <w:r w:rsidR="00841689">
        <w:t xml:space="preserve">outcomes </w:t>
      </w:r>
      <w:r w:rsidR="00C75824">
        <w:t>for</w:t>
      </w:r>
      <w:r w:rsidR="00841689">
        <w:t xml:space="preserve"> the Queensland community. </w:t>
      </w:r>
    </w:p>
    <w:p w14:paraId="0CA578A7" w14:textId="5BEA72F1" w:rsidR="00AB4111" w:rsidRPr="00F97015" w:rsidRDefault="00AB4111" w:rsidP="00C62C1E">
      <w:pPr>
        <w:pStyle w:val="PSC-Body"/>
      </w:pPr>
      <w:r w:rsidRPr="00917397">
        <w:rPr>
          <w:rFonts w:eastAsia="Arial" w:cs="Arial"/>
          <w:szCs w:val="20"/>
        </w:rPr>
        <w:t xml:space="preserve">The </w:t>
      </w:r>
      <w:r w:rsidR="00611B99">
        <w:rPr>
          <w:rFonts w:eastAsia="Arial" w:cs="Arial"/>
          <w:szCs w:val="20"/>
        </w:rPr>
        <w:t>Commission</w:t>
      </w:r>
      <w:r w:rsidR="00611B99" w:rsidRPr="00917397">
        <w:rPr>
          <w:rFonts w:eastAsia="Arial" w:cs="Arial"/>
          <w:szCs w:val="20"/>
        </w:rPr>
        <w:t xml:space="preserve"> </w:t>
      </w:r>
      <w:r w:rsidRPr="00917397">
        <w:rPr>
          <w:rFonts w:eastAsia="Arial" w:cs="Arial"/>
          <w:szCs w:val="20"/>
        </w:rPr>
        <w:t xml:space="preserve">will continue to work in collaboration with public sector unions and </w:t>
      </w:r>
      <w:r w:rsidR="006B16DC">
        <w:rPr>
          <w:rFonts w:eastAsia="Arial" w:cs="Arial"/>
          <w:szCs w:val="20"/>
        </w:rPr>
        <w:t>organisations</w:t>
      </w:r>
      <w:r w:rsidRPr="00917397">
        <w:rPr>
          <w:rFonts w:eastAsia="Arial" w:cs="Arial"/>
          <w:szCs w:val="20"/>
        </w:rPr>
        <w:t xml:space="preserve"> to drive implementation of the</w:t>
      </w:r>
      <w:r>
        <w:rPr>
          <w:rFonts w:eastAsia="Arial" w:cs="Arial"/>
          <w:szCs w:val="20"/>
        </w:rPr>
        <w:t xml:space="preserve"> Act</w:t>
      </w:r>
      <w:r w:rsidRPr="00917397">
        <w:rPr>
          <w:rFonts w:eastAsia="Arial" w:cs="Arial"/>
          <w:szCs w:val="20"/>
        </w:rPr>
        <w:t>, with a focus on continuous practice improvement across the sector</w:t>
      </w:r>
      <w:r w:rsidR="00A5389E">
        <w:rPr>
          <w:rFonts w:eastAsia="Arial" w:cs="Arial"/>
          <w:szCs w:val="20"/>
        </w:rPr>
        <w:t>.</w:t>
      </w:r>
    </w:p>
    <w:p w14:paraId="48AFE41F" w14:textId="49D5EA0A" w:rsidR="005915E7" w:rsidRPr="00F97015" w:rsidRDefault="000D0C83" w:rsidP="00D10873">
      <w:pPr>
        <w:pStyle w:val="PSC-Body"/>
        <w:spacing w:before="0" w:after="0"/>
      </w:pPr>
      <w:r>
        <w:t xml:space="preserve">Over the past 12 months </w:t>
      </w:r>
      <w:bookmarkEnd w:id="48"/>
      <w:r>
        <w:t>w</w:t>
      </w:r>
      <w:r w:rsidR="005C7BE5" w:rsidRPr="00F97015">
        <w:t>e have supported sector agencies to:</w:t>
      </w:r>
    </w:p>
    <w:p w14:paraId="0D9C6FF6" w14:textId="385DE21B" w:rsidR="005C7BE5" w:rsidRPr="00F97015" w:rsidRDefault="00805968" w:rsidP="00BD7C9C">
      <w:pPr>
        <w:pStyle w:val="PSC-Bullets1"/>
      </w:pPr>
      <w:r w:rsidRPr="00F97015">
        <w:t>embed flexible and hybrid work practices</w:t>
      </w:r>
      <w:r w:rsidR="00691C71">
        <w:t xml:space="preserve"> into their </w:t>
      </w:r>
      <w:proofErr w:type="gramStart"/>
      <w:r w:rsidR="00691C71">
        <w:t>organisations</w:t>
      </w:r>
      <w:proofErr w:type="gramEnd"/>
    </w:p>
    <w:p w14:paraId="568EF653" w14:textId="167A2383" w:rsidR="00805968" w:rsidRPr="00F97015" w:rsidRDefault="00805968" w:rsidP="00BD7C9C">
      <w:pPr>
        <w:pStyle w:val="PSC-Bullets1"/>
      </w:pPr>
      <w:r w:rsidRPr="00F97015">
        <w:t xml:space="preserve">develop new targets to support employment of people from key diversity </w:t>
      </w:r>
      <w:proofErr w:type="gramStart"/>
      <w:r w:rsidRPr="00F97015">
        <w:t>groups</w:t>
      </w:r>
      <w:proofErr w:type="gramEnd"/>
    </w:p>
    <w:p w14:paraId="32A428C7" w14:textId="0CFB9C5C" w:rsidR="00805968" w:rsidRPr="00F97015" w:rsidRDefault="00805968" w:rsidP="00BD7C9C">
      <w:pPr>
        <w:pStyle w:val="PSC-Bullets1"/>
      </w:pPr>
      <w:r w:rsidRPr="00F97015">
        <w:t xml:space="preserve">improve equity and diversity in </w:t>
      </w:r>
      <w:proofErr w:type="gramStart"/>
      <w:r w:rsidRPr="00F97015">
        <w:t>workplace</w:t>
      </w:r>
      <w:r w:rsidR="00F87415">
        <w:t>s</w:t>
      </w:r>
      <w:proofErr w:type="gramEnd"/>
    </w:p>
    <w:p w14:paraId="7A4E7475" w14:textId="2BAA2574" w:rsidR="00805968" w:rsidRDefault="00805968" w:rsidP="00BD7C9C">
      <w:pPr>
        <w:pStyle w:val="PSC-Bullets1"/>
      </w:pPr>
      <w:r w:rsidRPr="00F97015">
        <w:t xml:space="preserve">use workforce data and </w:t>
      </w:r>
      <w:r w:rsidR="00F84D7A">
        <w:t>insights</w:t>
      </w:r>
      <w:r w:rsidRPr="00F97015">
        <w:t xml:space="preserve"> to support evidence-based decisions by strengthening the Working for Queensland survey </w:t>
      </w:r>
      <w:proofErr w:type="gramStart"/>
      <w:r w:rsidRPr="00F97015">
        <w:t>instrument</w:t>
      </w:r>
      <w:proofErr w:type="gramEnd"/>
    </w:p>
    <w:p w14:paraId="37AE58C0" w14:textId="6FE673FA" w:rsidR="00765F5B" w:rsidRDefault="00765F5B" w:rsidP="00BD7C9C">
      <w:pPr>
        <w:pStyle w:val="PSC-Bullets1"/>
      </w:pPr>
      <w:r>
        <w:t xml:space="preserve">embed and communicate new directives, </w:t>
      </w:r>
      <w:proofErr w:type="gramStart"/>
      <w:r>
        <w:t>practices</w:t>
      </w:r>
      <w:proofErr w:type="gramEnd"/>
      <w:r>
        <w:t xml:space="preserve"> and behaviours</w:t>
      </w:r>
      <w:r w:rsidR="00F70279">
        <w:t xml:space="preserve"> to assist in the implementation of </w:t>
      </w:r>
      <w:r>
        <w:t>the Act.</w:t>
      </w:r>
    </w:p>
    <w:p w14:paraId="3C7C30A0" w14:textId="4E6E825F" w:rsidR="00593422" w:rsidRDefault="325CEDF9" w:rsidP="00C62C1E">
      <w:pPr>
        <w:pStyle w:val="PSC-Body"/>
      </w:pPr>
      <w:r>
        <w:t xml:space="preserve">One of the most </w:t>
      </w:r>
      <w:r w:rsidR="6B51650E">
        <w:t xml:space="preserve">important </w:t>
      </w:r>
      <w:r w:rsidR="00AC00ED">
        <w:t>journey</w:t>
      </w:r>
      <w:r w:rsidR="00D70843">
        <w:t>s</w:t>
      </w:r>
      <w:r w:rsidR="6B51650E">
        <w:t xml:space="preserve"> the Commission will be leading </w:t>
      </w:r>
      <w:r w:rsidR="07ECC43D">
        <w:t>in 2023</w:t>
      </w:r>
      <w:r w:rsidR="002E448E">
        <w:t>–</w:t>
      </w:r>
      <w:r w:rsidR="07ECC43D">
        <w:t xml:space="preserve">24 </w:t>
      </w:r>
      <w:r w:rsidR="6B51650E">
        <w:t xml:space="preserve">is the development </w:t>
      </w:r>
      <w:r w:rsidR="78B7387D">
        <w:t xml:space="preserve">and implementation </w:t>
      </w:r>
      <w:r w:rsidR="6B51650E">
        <w:t xml:space="preserve">of a future focussed </w:t>
      </w:r>
      <w:r w:rsidR="00425E48">
        <w:t>five-year</w:t>
      </w:r>
      <w:r w:rsidR="6B51650E">
        <w:t xml:space="preserve"> strategy to create </w:t>
      </w:r>
      <w:r w:rsidR="00A65660" w:rsidRPr="00BC2C64">
        <w:rPr>
          <w:iCs/>
        </w:rPr>
        <w:t>a</w:t>
      </w:r>
      <w:r w:rsidR="6B51650E" w:rsidRPr="00BC2C64">
        <w:rPr>
          <w:iCs/>
        </w:rPr>
        <w:t>n even better public sector for Queensland</w:t>
      </w:r>
      <w:r w:rsidR="2B4E1250" w:rsidRPr="29D83A1A">
        <w:rPr>
          <w:i/>
          <w:iCs/>
        </w:rPr>
        <w:t xml:space="preserve">. </w:t>
      </w:r>
      <w:r w:rsidR="2B4E1250" w:rsidRPr="29D83A1A">
        <w:t xml:space="preserve">The strategy will </w:t>
      </w:r>
      <w:r w:rsidR="404E79FF" w:rsidRPr="29D83A1A">
        <w:t>have three</w:t>
      </w:r>
      <w:r w:rsidR="6B51650E" w:rsidRPr="29D83A1A">
        <w:t xml:space="preserve"> </w:t>
      </w:r>
      <w:r w:rsidR="255FE9E5" w:rsidRPr="29D83A1A">
        <w:t xml:space="preserve">focus </w:t>
      </w:r>
      <w:r w:rsidR="6B51650E" w:rsidRPr="29D83A1A">
        <w:t>areas</w:t>
      </w:r>
      <w:r w:rsidR="00343FF6">
        <w:t xml:space="preserve"> </w:t>
      </w:r>
      <w:r w:rsidR="006E4818">
        <w:t>–</w:t>
      </w:r>
      <w:r w:rsidR="00343FF6">
        <w:t xml:space="preserve"> </w:t>
      </w:r>
      <w:r w:rsidR="006E4818">
        <w:t>o</w:t>
      </w:r>
      <w:r w:rsidR="25781E65" w:rsidRPr="29D83A1A">
        <w:t xml:space="preserve">ur </w:t>
      </w:r>
      <w:r w:rsidR="006E4818">
        <w:t>w</w:t>
      </w:r>
      <w:r w:rsidR="25781E65" w:rsidRPr="29D83A1A">
        <w:t>orkplace</w:t>
      </w:r>
      <w:r w:rsidR="006E4818">
        <w:t>,</w:t>
      </w:r>
      <w:r w:rsidR="00DC1ECE">
        <w:t xml:space="preserve"> </w:t>
      </w:r>
      <w:r w:rsidR="006E4818">
        <w:t>o</w:t>
      </w:r>
      <w:r w:rsidR="00C47B26">
        <w:t xml:space="preserve">ur </w:t>
      </w:r>
      <w:proofErr w:type="gramStart"/>
      <w:r w:rsidR="006E4818">
        <w:t>w</w:t>
      </w:r>
      <w:r w:rsidR="00C47B26">
        <w:t>orkforce</w:t>
      </w:r>
      <w:proofErr w:type="gramEnd"/>
      <w:r w:rsidR="00C47B26">
        <w:t xml:space="preserve"> and </w:t>
      </w:r>
      <w:r w:rsidR="006E4818">
        <w:t>o</w:t>
      </w:r>
      <w:r w:rsidR="00C47B26">
        <w:t xml:space="preserve">ur </w:t>
      </w:r>
      <w:r w:rsidR="006E4818">
        <w:t>w</w:t>
      </w:r>
      <w:r w:rsidR="00C47B26">
        <w:t>ork</w:t>
      </w:r>
      <w:r w:rsidR="25781E65" w:rsidRPr="29D83A1A">
        <w:t>.</w:t>
      </w:r>
      <w:r w:rsidR="03896975" w:rsidRPr="29D83A1A">
        <w:t xml:space="preserve"> </w:t>
      </w:r>
    </w:p>
    <w:p w14:paraId="1E71A3A8" w14:textId="4AA47718" w:rsidR="00425E48" w:rsidRPr="00F72881" w:rsidRDefault="00F840DE" w:rsidP="00C62C1E">
      <w:pPr>
        <w:pStyle w:val="PSC-Body"/>
      </w:pPr>
      <w:r>
        <w:t xml:space="preserve">Being considered an employer of choice that is effective in developing and attracting high calibre people with the skills and capabilities </w:t>
      </w:r>
      <w:r w:rsidR="00676399">
        <w:t>that the Queensland public sector needs now and into the future is an essential element in being able to serve all Queenslander</w:t>
      </w:r>
      <w:r w:rsidR="0007733C">
        <w:t>s</w:t>
      </w:r>
      <w:r w:rsidR="00676399">
        <w:t xml:space="preserve">. </w:t>
      </w:r>
      <w:r w:rsidR="00262535">
        <w:t>Further</w:t>
      </w:r>
      <w:r w:rsidR="00204EED">
        <w:t xml:space="preserve">, ensuring that </w:t>
      </w:r>
      <w:r w:rsidR="003B6395">
        <w:t xml:space="preserve">public sector </w:t>
      </w:r>
      <w:r w:rsidR="00554C23">
        <w:t>employees</w:t>
      </w:r>
      <w:r w:rsidR="003B6395">
        <w:t xml:space="preserve"> undertake their roles as professionals in the craft of public service practice is essential to maintaining the trust and confidence of Queenslanders. The</w:t>
      </w:r>
      <w:r w:rsidR="00A939E4">
        <w:t>s</w:t>
      </w:r>
      <w:r w:rsidR="003B6395">
        <w:t>e are fundamental areas of</w:t>
      </w:r>
      <w:r w:rsidR="001B4313">
        <w:t xml:space="preserve"> focus</w:t>
      </w:r>
      <w:r w:rsidR="00D9182F">
        <w:t xml:space="preserve"> and </w:t>
      </w:r>
      <w:r w:rsidR="00D70381">
        <w:t>priority</w:t>
      </w:r>
      <w:r w:rsidR="00D9182F">
        <w:t xml:space="preserve"> for the Commission </w:t>
      </w:r>
      <w:r w:rsidR="0071684D">
        <w:t>for the</w:t>
      </w:r>
      <w:r w:rsidR="00D70381">
        <w:t xml:space="preserve"> coming years</w:t>
      </w:r>
      <w:r w:rsidR="00774A7B">
        <w:t xml:space="preserve"> </w:t>
      </w:r>
      <w:r w:rsidR="00F72881">
        <w:t>and at the very heart of what our role as steward</w:t>
      </w:r>
      <w:r w:rsidR="00593422">
        <w:t>s</w:t>
      </w:r>
      <w:r w:rsidR="00F72881">
        <w:t xml:space="preserve"> of the public sector should be</w:t>
      </w:r>
      <w:r w:rsidR="00593422">
        <w:t>.</w:t>
      </w:r>
    </w:p>
    <w:p w14:paraId="4E8324FD" w14:textId="744D9107" w:rsidR="00726D31" w:rsidRPr="00F97015" w:rsidRDefault="00426E0A" w:rsidP="005527CF">
      <w:pPr>
        <w:pStyle w:val="PSC-Body"/>
      </w:pPr>
      <w:r>
        <w:t>Creating an even better public service</w:t>
      </w:r>
      <w:r w:rsidRPr="29D83A1A">
        <w:t xml:space="preserve"> </w:t>
      </w:r>
      <w:r w:rsidR="1569BCBF" w:rsidRPr="29D83A1A">
        <w:t xml:space="preserve">is an opportunity to highlight our strengths, </w:t>
      </w:r>
      <w:r w:rsidR="1BD7D998" w:rsidRPr="29D83A1A">
        <w:t xml:space="preserve">but also to identify and prioritise areas we can improve with the aim of delivering better services and outcomes for Queenslanders. The Commission has commenced engaging with </w:t>
      </w:r>
      <w:r w:rsidR="477D73DC" w:rsidRPr="29D83A1A">
        <w:t xml:space="preserve">the </w:t>
      </w:r>
      <w:r w:rsidR="00676370">
        <w:t>p</w:t>
      </w:r>
      <w:r w:rsidR="477D73DC" w:rsidRPr="29D83A1A">
        <w:t xml:space="preserve">ublic </w:t>
      </w:r>
      <w:r w:rsidR="00676370">
        <w:t>s</w:t>
      </w:r>
      <w:r w:rsidR="477D73DC" w:rsidRPr="29D83A1A">
        <w:t xml:space="preserve">ector about this important work and I look forward to a continuing engagement throughout the life of the strategy. </w:t>
      </w:r>
    </w:p>
    <w:p w14:paraId="0128CD8F" w14:textId="42211BB2" w:rsidR="00C84857" w:rsidRDefault="00F56EF3" w:rsidP="00C56838">
      <w:pPr>
        <w:pStyle w:val="PSC-Body"/>
      </w:pPr>
      <w:r>
        <w:t>Whil</w:t>
      </w:r>
      <w:r w:rsidR="49F26ACC">
        <w:t>e</w:t>
      </w:r>
      <w:r>
        <w:t xml:space="preserve"> </w:t>
      </w:r>
      <w:r w:rsidR="00272C57">
        <w:t xml:space="preserve">we have a clear future direction, </w:t>
      </w:r>
      <w:r w:rsidR="0076167D">
        <w:t>I have</w:t>
      </w:r>
      <w:r w:rsidR="00D51A2A">
        <w:t xml:space="preserve"> also</w:t>
      </w:r>
      <w:r w:rsidR="0076167D">
        <w:t xml:space="preserve"> been reflecting</w:t>
      </w:r>
      <w:r w:rsidR="00272C57">
        <w:t xml:space="preserve"> upon </w:t>
      </w:r>
      <w:r w:rsidR="0076167D">
        <w:t>the</w:t>
      </w:r>
      <w:r w:rsidR="00272C57">
        <w:t xml:space="preserve"> </w:t>
      </w:r>
      <w:r w:rsidR="00226F75">
        <w:t xml:space="preserve">collective </w:t>
      </w:r>
      <w:r w:rsidR="00272C57">
        <w:t>achievements</w:t>
      </w:r>
      <w:r w:rsidR="0076167D">
        <w:t xml:space="preserve"> of</w:t>
      </w:r>
      <w:r w:rsidR="00AA668D">
        <w:t xml:space="preserve"> the Commission over the past 12 months</w:t>
      </w:r>
      <w:r w:rsidR="00272C57">
        <w:t xml:space="preserve"> and the incredible examples of </w:t>
      </w:r>
      <w:r w:rsidR="00226F75">
        <w:t xml:space="preserve">teamwork, resilience and adaptability </w:t>
      </w:r>
      <w:r w:rsidR="00AA668D">
        <w:t>display</w:t>
      </w:r>
      <w:r w:rsidR="00643D66">
        <w:t>ed</w:t>
      </w:r>
      <w:r w:rsidR="00AA668D">
        <w:t>.</w:t>
      </w:r>
      <w:r w:rsidR="00676370">
        <w:t xml:space="preserve"> </w:t>
      </w:r>
    </w:p>
    <w:p w14:paraId="5B087919" w14:textId="0F463675" w:rsidR="004D4BD1" w:rsidRDefault="00AA668D" w:rsidP="00C56838">
      <w:pPr>
        <w:pStyle w:val="PSC-Body"/>
      </w:pPr>
      <w:r>
        <w:t xml:space="preserve">I am </w:t>
      </w:r>
      <w:r w:rsidR="00126AAD">
        <w:t xml:space="preserve">excited for the coming year </w:t>
      </w:r>
      <w:r w:rsidR="00402E34">
        <w:t xml:space="preserve">and </w:t>
      </w:r>
      <w:r w:rsidR="003D7199">
        <w:t>sincerely</w:t>
      </w:r>
      <w:r w:rsidR="00402E34">
        <w:t xml:space="preserve"> thank </w:t>
      </w:r>
      <w:r w:rsidR="00843304">
        <w:t>every</w:t>
      </w:r>
      <w:r w:rsidR="00D36814">
        <w:t>one at</w:t>
      </w:r>
      <w:r w:rsidR="00E155F7">
        <w:t xml:space="preserve"> the Commission for their </w:t>
      </w:r>
      <w:r w:rsidR="0031241D">
        <w:t>diligent</w:t>
      </w:r>
      <w:r w:rsidR="005C2883">
        <w:t xml:space="preserve"> work and dedication to </w:t>
      </w:r>
      <w:r w:rsidR="00B26EBE">
        <w:t>implement</w:t>
      </w:r>
      <w:r w:rsidR="003916BA">
        <w:t>ing</w:t>
      </w:r>
      <w:r w:rsidR="00B26EBE">
        <w:t xml:space="preserve"> programs of work </w:t>
      </w:r>
      <w:r w:rsidR="00E23BB9">
        <w:t xml:space="preserve">that will make our workplaces, </w:t>
      </w:r>
      <w:proofErr w:type="gramStart"/>
      <w:r w:rsidR="00E23BB9">
        <w:t>workforce</w:t>
      </w:r>
      <w:proofErr w:type="gramEnd"/>
      <w:r w:rsidR="00E23BB9">
        <w:t xml:space="preserve"> and work even better.</w:t>
      </w:r>
    </w:p>
    <w:p w14:paraId="52026C7F" w14:textId="77777777" w:rsidR="00844578" w:rsidRDefault="00844578" w:rsidP="002A2E7D">
      <w:pPr>
        <w:pStyle w:val="PSC-Body"/>
        <w:rPr>
          <w:b/>
          <w:bCs/>
        </w:rPr>
      </w:pPr>
    </w:p>
    <w:p w14:paraId="3FFE01E8" w14:textId="4A419BCA" w:rsidR="000874E5" w:rsidRDefault="6C07CB98" w:rsidP="002A2E7D">
      <w:pPr>
        <w:pStyle w:val="PSC-Body"/>
      </w:pPr>
      <w:r w:rsidRPr="273F0FF3">
        <w:rPr>
          <w:b/>
          <w:bCs/>
        </w:rPr>
        <w:t>David Mackie</w:t>
      </w:r>
      <w:r w:rsidR="006F2021">
        <w:br/>
      </w:r>
      <w:r w:rsidR="009E1E08">
        <w:t>Public Sector Commissioner</w:t>
      </w:r>
      <w:r w:rsidR="006F2021">
        <w:t xml:space="preserve"> </w:t>
      </w:r>
      <w:r w:rsidR="006F2021">
        <w:br/>
        <w:t>Public Se</w:t>
      </w:r>
      <w:r w:rsidR="009E1E08">
        <w:t>ctor</w:t>
      </w:r>
      <w:r w:rsidR="006F2021">
        <w:t xml:space="preserve"> Commission</w:t>
      </w:r>
      <w:bookmarkStart w:id="52" w:name="_Toc79493345"/>
      <w:bookmarkStart w:id="53" w:name="_Toc1410161082"/>
      <w:bookmarkStart w:id="54" w:name="_Toc141342842"/>
      <w:bookmarkStart w:id="55" w:name="_Toc141781780"/>
      <w:bookmarkStart w:id="56" w:name="_Toc141781942"/>
      <w:r w:rsidR="000874E5">
        <w:br w:type="page"/>
      </w:r>
    </w:p>
    <w:p w14:paraId="67685338" w14:textId="77777777" w:rsidR="000874E5" w:rsidRDefault="00042389" w:rsidP="000874E5">
      <w:pPr>
        <w:pStyle w:val="PSCHeading1"/>
      </w:pPr>
      <w:bookmarkStart w:id="57" w:name="_Toc145926889"/>
      <w:r w:rsidRPr="00A9740A">
        <w:lastRenderedPageBreak/>
        <w:t>About us</w:t>
      </w:r>
      <w:bookmarkEnd w:id="52"/>
      <w:bookmarkEnd w:id="53"/>
      <w:bookmarkEnd w:id="54"/>
      <w:bookmarkEnd w:id="55"/>
      <w:bookmarkEnd w:id="56"/>
      <w:bookmarkEnd w:id="57"/>
    </w:p>
    <w:p w14:paraId="77153A6F" w14:textId="7083C203" w:rsidR="00454DB2" w:rsidRPr="002246EF" w:rsidRDefault="00042389" w:rsidP="00C74244">
      <w:pPr>
        <w:rPr>
          <w:szCs w:val="20"/>
        </w:rPr>
      </w:pPr>
      <w:r w:rsidRPr="002246EF">
        <w:rPr>
          <w:szCs w:val="20"/>
        </w:rPr>
        <w:t>The</w:t>
      </w:r>
      <w:r w:rsidR="00472D12">
        <w:rPr>
          <w:szCs w:val="20"/>
        </w:rPr>
        <w:t xml:space="preserve"> </w:t>
      </w:r>
      <w:r w:rsidR="00F049D6" w:rsidRPr="002246EF">
        <w:rPr>
          <w:szCs w:val="20"/>
        </w:rPr>
        <w:t xml:space="preserve">Commission </w:t>
      </w:r>
      <w:r w:rsidR="00D51AE6" w:rsidRPr="002246EF">
        <w:rPr>
          <w:szCs w:val="20"/>
        </w:rPr>
        <w:t xml:space="preserve">is a small, dynamic central agency of government </w:t>
      </w:r>
      <w:r w:rsidRPr="002246EF">
        <w:rPr>
          <w:szCs w:val="20"/>
        </w:rPr>
        <w:t>established</w:t>
      </w:r>
      <w:r w:rsidRPr="002246EF">
        <w:rPr>
          <w:spacing w:val="-15"/>
          <w:szCs w:val="20"/>
        </w:rPr>
        <w:t xml:space="preserve"> </w:t>
      </w:r>
      <w:r w:rsidRPr="002246EF">
        <w:rPr>
          <w:szCs w:val="20"/>
        </w:rPr>
        <w:t>under</w:t>
      </w:r>
      <w:r w:rsidRPr="002246EF">
        <w:rPr>
          <w:spacing w:val="-14"/>
          <w:szCs w:val="20"/>
        </w:rPr>
        <w:t xml:space="preserve"> </w:t>
      </w:r>
      <w:r w:rsidRPr="002246EF">
        <w:rPr>
          <w:szCs w:val="20"/>
        </w:rPr>
        <w:t>the</w:t>
      </w:r>
      <w:r w:rsidRPr="002246EF">
        <w:rPr>
          <w:spacing w:val="-15"/>
          <w:szCs w:val="20"/>
        </w:rPr>
        <w:t xml:space="preserve"> </w:t>
      </w:r>
      <w:r w:rsidR="00760247">
        <w:rPr>
          <w:spacing w:val="-15"/>
          <w:szCs w:val="20"/>
        </w:rPr>
        <w:t xml:space="preserve">now </w:t>
      </w:r>
      <w:r w:rsidR="003F7A71" w:rsidRPr="00B56C32">
        <w:rPr>
          <w:szCs w:val="20"/>
        </w:rPr>
        <w:t xml:space="preserve">repealed </w:t>
      </w:r>
      <w:r w:rsidR="003F7A71" w:rsidRPr="002246EF">
        <w:rPr>
          <w:i/>
          <w:iCs/>
          <w:szCs w:val="20"/>
        </w:rPr>
        <w:t xml:space="preserve">Public Service Act 2008 </w:t>
      </w:r>
      <w:r w:rsidR="003F7A71" w:rsidRPr="00B56C32">
        <w:rPr>
          <w:szCs w:val="20"/>
        </w:rPr>
        <w:t xml:space="preserve">on 1 July 2008. As of 1 March 2023, the Commission operates under the </w:t>
      </w:r>
      <w:r w:rsidR="003F7A71" w:rsidRPr="002246EF">
        <w:rPr>
          <w:i/>
          <w:iCs/>
          <w:szCs w:val="20"/>
        </w:rPr>
        <w:t>Public Sector Act 2022</w:t>
      </w:r>
      <w:r w:rsidR="003F7A71" w:rsidRPr="00B56C32">
        <w:rPr>
          <w:szCs w:val="20"/>
        </w:rPr>
        <w:t xml:space="preserve"> </w:t>
      </w:r>
      <w:r w:rsidR="003F7A71" w:rsidRPr="00262535">
        <w:rPr>
          <w:szCs w:val="20"/>
        </w:rPr>
        <w:t>(the Act).</w:t>
      </w:r>
    </w:p>
    <w:p w14:paraId="211775C8" w14:textId="00B44E61" w:rsidR="00D21038" w:rsidRPr="00A74820" w:rsidRDefault="7E091687" w:rsidP="00A74820">
      <w:pPr>
        <w:pStyle w:val="PSCHeading2"/>
      </w:pPr>
      <w:bookmarkStart w:id="58" w:name="_Toc145926890"/>
      <w:bookmarkStart w:id="59" w:name="_Toc74055879"/>
      <w:bookmarkStart w:id="60" w:name="_Toc76549837"/>
      <w:bookmarkStart w:id="61" w:name="_Toc79493346"/>
      <w:bookmarkStart w:id="62" w:name="_Toc141781781"/>
      <w:bookmarkStart w:id="63" w:name="_Toc141781943"/>
      <w:r w:rsidRPr="00A74820">
        <w:t xml:space="preserve">Our Strategic Plan </w:t>
      </w:r>
      <w:r w:rsidR="4F51C89A" w:rsidRPr="00A74820">
        <w:t>2022–26</w:t>
      </w:r>
      <w:bookmarkEnd w:id="58"/>
      <w:r w:rsidR="4F51C89A" w:rsidRPr="00A74820">
        <w:t xml:space="preserve"> </w:t>
      </w:r>
    </w:p>
    <w:p w14:paraId="0353EAF6" w14:textId="2F055180" w:rsidR="00D21038" w:rsidRPr="00A9740A" w:rsidRDefault="4F51C89A" w:rsidP="00C74472">
      <w:pPr>
        <w:spacing w:after="0"/>
        <w:rPr>
          <w:b/>
          <w:bCs/>
          <w:szCs w:val="24"/>
        </w:rPr>
      </w:pPr>
      <w:r w:rsidRPr="00080F26">
        <w:rPr>
          <w:szCs w:val="20"/>
        </w:rPr>
        <w:t>Our v</w:t>
      </w:r>
      <w:r w:rsidR="00D21038" w:rsidRPr="00080F26">
        <w:rPr>
          <w:szCs w:val="20"/>
        </w:rPr>
        <w:t>ision</w:t>
      </w:r>
      <w:r w:rsidR="1979B9EA" w:rsidRPr="00080F26">
        <w:rPr>
          <w:szCs w:val="20"/>
        </w:rPr>
        <w:t xml:space="preserve"> is a </w:t>
      </w:r>
      <w:r w:rsidR="2C970431" w:rsidRPr="00080F26">
        <w:t>high-performing, future-focused public sector for Queensland.</w:t>
      </w:r>
    </w:p>
    <w:p w14:paraId="08D54A54" w14:textId="2BCB92D1" w:rsidR="00D21038" w:rsidRPr="00A74820" w:rsidRDefault="48486A02" w:rsidP="005A5802">
      <w:pPr>
        <w:pStyle w:val="PSCHeading2"/>
      </w:pPr>
      <w:bookmarkStart w:id="64" w:name="_Toc74055880"/>
      <w:bookmarkStart w:id="65" w:name="_Toc76549838"/>
      <w:bookmarkStart w:id="66" w:name="_Toc79493347"/>
      <w:bookmarkStart w:id="67" w:name="_Toc141781782"/>
      <w:bookmarkStart w:id="68" w:name="_Toc141781944"/>
      <w:bookmarkStart w:id="69" w:name="_Toc145926891"/>
      <w:bookmarkEnd w:id="59"/>
      <w:bookmarkEnd w:id="60"/>
      <w:bookmarkEnd w:id="61"/>
      <w:bookmarkEnd w:id="62"/>
      <w:bookmarkEnd w:id="63"/>
      <w:r w:rsidRPr="00A74820">
        <w:t>Our p</w:t>
      </w:r>
      <w:r w:rsidR="00D21038" w:rsidRPr="00A74820">
        <w:t>urpose</w:t>
      </w:r>
      <w:bookmarkEnd w:id="64"/>
      <w:bookmarkEnd w:id="65"/>
      <w:bookmarkEnd w:id="66"/>
      <w:bookmarkEnd w:id="67"/>
      <w:bookmarkEnd w:id="68"/>
      <w:bookmarkEnd w:id="69"/>
    </w:p>
    <w:p w14:paraId="02A9819B" w14:textId="01CAA052" w:rsidR="000A2506" w:rsidRDefault="00F049D6" w:rsidP="00D21038">
      <w:r>
        <w:t xml:space="preserve">The Commission is </w:t>
      </w:r>
      <w:r w:rsidR="00D21038">
        <w:t>here to advise, connect, support and partner with the public sector to deliver the best outcomes for Queenslanders.</w:t>
      </w:r>
      <w:r w:rsidR="00D51AE6">
        <w:t xml:space="preserve"> </w:t>
      </w:r>
    </w:p>
    <w:p w14:paraId="74A62E85" w14:textId="446FFE47" w:rsidR="00D51AE6" w:rsidRPr="00A74820" w:rsidRDefault="37EB9E87" w:rsidP="005A5802">
      <w:pPr>
        <w:pStyle w:val="PSCHeading2"/>
      </w:pPr>
      <w:bookmarkStart w:id="70" w:name="_Toc74055881"/>
      <w:bookmarkStart w:id="71" w:name="_Toc76549840"/>
      <w:bookmarkStart w:id="72" w:name="_Toc79493348"/>
      <w:bookmarkStart w:id="73" w:name="_Toc141781783"/>
      <w:bookmarkStart w:id="74" w:name="_Toc141781945"/>
      <w:bookmarkStart w:id="75" w:name="_Toc145926892"/>
      <w:r w:rsidRPr="00A74820">
        <w:t>Our o</w:t>
      </w:r>
      <w:r w:rsidR="00D51AE6" w:rsidRPr="00A74820">
        <w:t>bjectives</w:t>
      </w:r>
      <w:bookmarkEnd w:id="70"/>
      <w:bookmarkEnd w:id="71"/>
      <w:bookmarkEnd w:id="72"/>
      <w:bookmarkEnd w:id="73"/>
      <w:bookmarkEnd w:id="74"/>
      <w:bookmarkEnd w:id="75"/>
    </w:p>
    <w:p w14:paraId="48284F90" w14:textId="5A21DE48" w:rsidR="00D51AE6" w:rsidRPr="007C5F12" w:rsidRDefault="00074D0F" w:rsidP="00C90E7A">
      <w:pPr>
        <w:pStyle w:val="PSC-Bullets1"/>
      </w:pPr>
      <w:r w:rsidRPr="007C5F12">
        <w:t>S</w:t>
      </w:r>
      <w:r w:rsidR="00D51AE6" w:rsidRPr="007C5F12">
        <w:t>upport public sector agencies to effectively manage their workforces</w:t>
      </w:r>
      <w:r w:rsidRPr="007C5F12">
        <w:t>.</w:t>
      </w:r>
    </w:p>
    <w:p w14:paraId="4D812BF1" w14:textId="60594C17" w:rsidR="00D51AE6" w:rsidRPr="007C5F12" w:rsidRDefault="00074D0F" w:rsidP="00C90E7A">
      <w:pPr>
        <w:pStyle w:val="PSC-Bullets1"/>
      </w:pPr>
      <w:r w:rsidRPr="007C5F12">
        <w:t>B</w:t>
      </w:r>
      <w:r w:rsidR="00D51AE6" w:rsidRPr="007C5F12">
        <w:t>uild a highly capable and responsive public sector workforce</w:t>
      </w:r>
      <w:r w:rsidRPr="007C5F12">
        <w:t>.</w:t>
      </w:r>
    </w:p>
    <w:p w14:paraId="6F7F9437" w14:textId="37867E81" w:rsidR="00D51AE6" w:rsidRPr="007C5F12" w:rsidRDefault="00074D0F" w:rsidP="00C90E7A">
      <w:pPr>
        <w:pStyle w:val="PSC-Bullets1"/>
      </w:pPr>
      <w:r w:rsidRPr="007C5F12">
        <w:t>S</w:t>
      </w:r>
      <w:r w:rsidR="00D51AE6" w:rsidRPr="007C5F12">
        <w:t xml:space="preserve">upport the public sector to prepare </w:t>
      </w:r>
      <w:r w:rsidR="00CC4034" w:rsidRPr="007C5F12">
        <w:t xml:space="preserve">for </w:t>
      </w:r>
      <w:r w:rsidR="00D51AE6" w:rsidRPr="007C5F12">
        <w:t>and respond to strategic workforce challenges.</w:t>
      </w:r>
    </w:p>
    <w:p w14:paraId="77A45DB1" w14:textId="4A4CAFB6" w:rsidR="000F7FB9" w:rsidRPr="00A74820" w:rsidRDefault="4E402246" w:rsidP="005A5802">
      <w:pPr>
        <w:pStyle w:val="PSCHeading2"/>
      </w:pPr>
      <w:bookmarkStart w:id="76" w:name="_Toc79493349"/>
      <w:bookmarkStart w:id="77" w:name="_Toc141781784"/>
      <w:bookmarkStart w:id="78" w:name="_Toc141781946"/>
      <w:bookmarkStart w:id="79" w:name="_Toc145926893"/>
      <w:bookmarkStart w:id="80" w:name="_Toc74055887"/>
      <w:bookmarkStart w:id="81" w:name="_Toc76549843"/>
      <w:r w:rsidRPr="00A74820">
        <w:t>Our r</w:t>
      </w:r>
      <w:r w:rsidR="000F7FB9" w:rsidRPr="00A74820">
        <w:t>esponsibilities</w:t>
      </w:r>
      <w:bookmarkEnd w:id="76"/>
      <w:bookmarkEnd w:id="77"/>
      <w:bookmarkEnd w:id="78"/>
      <w:bookmarkEnd w:id="79"/>
      <w:r w:rsidR="000F7FB9" w:rsidRPr="00A74820">
        <w:t xml:space="preserve"> </w:t>
      </w:r>
    </w:p>
    <w:p w14:paraId="77AB356D" w14:textId="04F745FB" w:rsidR="000F7FB9" w:rsidRPr="007C5F12" w:rsidRDefault="000F7FB9" w:rsidP="0041693E">
      <w:pPr>
        <w:pStyle w:val="PSC-Bullets1"/>
      </w:pPr>
      <w:r w:rsidRPr="48864756">
        <w:t>Promote the management and employment principles set out in the Act.</w:t>
      </w:r>
    </w:p>
    <w:p w14:paraId="7E2D869D" w14:textId="2EF3F9CA" w:rsidR="000F7FB9" w:rsidRPr="007C5F12" w:rsidRDefault="000F7FB9" w:rsidP="0041693E">
      <w:pPr>
        <w:pStyle w:val="PSC-Bullets1"/>
      </w:pPr>
      <w:r w:rsidRPr="007C5F12">
        <w:t>Enhance and promote an ethical culture and ethical decision-making across the sector.</w:t>
      </w:r>
    </w:p>
    <w:p w14:paraId="33922428" w14:textId="60C29678" w:rsidR="000F7FB9" w:rsidRPr="007C5F12" w:rsidRDefault="000F7FB9" w:rsidP="0041693E">
      <w:pPr>
        <w:pStyle w:val="PSC-Bullets1"/>
      </w:pPr>
      <w:r w:rsidRPr="007C5F12">
        <w:t>Enhance the sector’s leadership and management capabilities in relation to disciplinary matters.</w:t>
      </w:r>
    </w:p>
    <w:p w14:paraId="0881D466" w14:textId="24135C80" w:rsidR="000F7FB9" w:rsidRPr="007C5F12" w:rsidRDefault="000F7FB9" w:rsidP="0041693E">
      <w:pPr>
        <w:pStyle w:val="PSC-Bullets1"/>
      </w:pPr>
      <w:r w:rsidRPr="007C5F12">
        <w:t>Conduct Commission reviews, including the handling by agencies of work performance matters.</w:t>
      </w:r>
    </w:p>
    <w:p w14:paraId="77BDF391" w14:textId="5CC909B0" w:rsidR="000F7FB9" w:rsidRPr="007C5F12" w:rsidRDefault="000F7FB9" w:rsidP="0041693E">
      <w:pPr>
        <w:pStyle w:val="PSC-Bullets1"/>
      </w:pPr>
      <w:r w:rsidRPr="007C5F12">
        <w:t>Develop and implement sector-wide workforce management strategies.</w:t>
      </w:r>
    </w:p>
    <w:p w14:paraId="4D35E973" w14:textId="27431940" w:rsidR="000F7FB9" w:rsidRPr="007C5F12" w:rsidRDefault="000F7FB9" w:rsidP="0041693E">
      <w:pPr>
        <w:pStyle w:val="PSC-Bullets1"/>
      </w:pPr>
      <w:r w:rsidRPr="007C5F12">
        <w:t>Enhance the sector’s human resources (HR) management and capability.</w:t>
      </w:r>
    </w:p>
    <w:p w14:paraId="2849D0A6" w14:textId="77777777" w:rsidR="000F7FB9" w:rsidRPr="007C5F12" w:rsidRDefault="000F7FB9" w:rsidP="0041693E">
      <w:pPr>
        <w:pStyle w:val="PSC-Bullets1"/>
      </w:pPr>
      <w:r w:rsidRPr="007C5F12">
        <w:t>Enable the development of mobile, highly skilled senior executives and leaders.</w:t>
      </w:r>
    </w:p>
    <w:p w14:paraId="32D62B0D" w14:textId="27857E07" w:rsidR="000F7FB9" w:rsidRPr="007C5F12" w:rsidRDefault="000F7FB9" w:rsidP="0041693E">
      <w:pPr>
        <w:pStyle w:val="PSC-Bullets1"/>
      </w:pPr>
      <w:r w:rsidRPr="007C5F12">
        <w:t>Monitor and report on the sector's workforce profile.</w:t>
      </w:r>
    </w:p>
    <w:p w14:paraId="5D3E54C8" w14:textId="4740AB42" w:rsidR="000F7FB9" w:rsidRPr="007C5F12" w:rsidRDefault="000F7FB9" w:rsidP="0041693E">
      <w:pPr>
        <w:pStyle w:val="PSC-Bullets1"/>
      </w:pPr>
      <w:r w:rsidRPr="007C5F12">
        <w:t>Promote a culture of continuous improvement and organisational performance management across the sector.</w:t>
      </w:r>
    </w:p>
    <w:p w14:paraId="48179E33" w14:textId="14176337" w:rsidR="00B347A7" w:rsidRPr="007C5F12" w:rsidRDefault="000F7FB9" w:rsidP="0041693E">
      <w:pPr>
        <w:pStyle w:val="PSC-Bullets1"/>
      </w:pPr>
      <w:r w:rsidRPr="007C5F12">
        <w:t>Provide a best practice advisory role on public sector management, organisational performance management and workforce practices.</w:t>
      </w:r>
    </w:p>
    <w:p w14:paraId="3E12922D" w14:textId="24142DA1" w:rsidR="000F7FB9" w:rsidRPr="00A9166D" w:rsidRDefault="000F7FB9" w:rsidP="1C1C52B1">
      <w:pPr>
        <w:rPr>
          <w:rFonts w:eastAsia="Times New Roman" w:cs="Times New Roman"/>
        </w:rPr>
      </w:pPr>
      <w:r>
        <w:t>The Commission also works with</w:t>
      </w:r>
      <w:r w:rsidR="00740243">
        <w:t xml:space="preserve"> </w:t>
      </w:r>
      <w:r w:rsidR="79E5BC8A">
        <w:t xml:space="preserve">the </w:t>
      </w:r>
      <w:r>
        <w:t>D</w:t>
      </w:r>
      <w:r w:rsidR="232FE5E8">
        <w:t>epartment of the P</w:t>
      </w:r>
      <w:r w:rsidR="75D43A7F">
        <w:t>r</w:t>
      </w:r>
      <w:r w:rsidR="232FE5E8">
        <w:t>emier and Cabinet (D</w:t>
      </w:r>
      <w:r>
        <w:t>PC</w:t>
      </w:r>
      <w:r w:rsidR="580D1D40">
        <w:t>)</w:t>
      </w:r>
      <w:r>
        <w:t xml:space="preserve"> and Q</w:t>
      </w:r>
      <w:r w:rsidR="6C83EB32">
        <w:t>ueensland Treasury (Q</w:t>
      </w:r>
      <w:r>
        <w:t>T</w:t>
      </w:r>
      <w:r w:rsidR="5F80C62D">
        <w:t>)</w:t>
      </w:r>
      <w:r>
        <w:t xml:space="preserve"> to oversee continuous improvement of the sector and collaborates with all government agencies to achieve its vision. </w:t>
      </w:r>
    </w:p>
    <w:p w14:paraId="6E066BB3" w14:textId="77777777" w:rsidR="00A9740A" w:rsidRPr="00A96D24" w:rsidRDefault="00A9740A" w:rsidP="00A96D24">
      <w:pPr>
        <w:pStyle w:val="PSCHeading2"/>
      </w:pPr>
      <w:bookmarkStart w:id="82" w:name="_Toc79493350"/>
      <w:bookmarkStart w:id="83" w:name="_Toc141781785"/>
      <w:bookmarkStart w:id="84" w:name="_Toc141781947"/>
      <w:bookmarkStart w:id="85" w:name="_Toc145926894"/>
      <w:r w:rsidRPr="00A96D24">
        <w:t>Values</w:t>
      </w:r>
      <w:bookmarkEnd w:id="82"/>
      <w:bookmarkEnd w:id="83"/>
      <w:bookmarkEnd w:id="84"/>
      <w:bookmarkEnd w:id="85"/>
    </w:p>
    <w:p w14:paraId="075EB4A2" w14:textId="71A246E7" w:rsidR="00A9740A" w:rsidRPr="007C5F12" w:rsidRDefault="00A9740A" w:rsidP="00263F17">
      <w:pPr>
        <w:pStyle w:val="PSC-Bullets1"/>
      </w:pPr>
      <w:r w:rsidRPr="007C5F12">
        <w:t>Customers first</w:t>
      </w:r>
    </w:p>
    <w:p w14:paraId="57444F0A" w14:textId="79870719" w:rsidR="00A9740A" w:rsidRPr="007C5F12" w:rsidRDefault="00A9740A" w:rsidP="00263F17">
      <w:pPr>
        <w:pStyle w:val="PSC-Bullets1"/>
      </w:pPr>
      <w:r w:rsidRPr="007C5F12">
        <w:t>Ideas into action</w:t>
      </w:r>
    </w:p>
    <w:p w14:paraId="72992891" w14:textId="4C283B99" w:rsidR="00A9740A" w:rsidRPr="007C5F12" w:rsidRDefault="00A9740A" w:rsidP="00263F17">
      <w:pPr>
        <w:pStyle w:val="PSC-Bullets1"/>
      </w:pPr>
      <w:r w:rsidRPr="007C5F12">
        <w:t xml:space="preserve">Unleash </w:t>
      </w:r>
      <w:proofErr w:type="gramStart"/>
      <w:r w:rsidRPr="007C5F12">
        <w:t>potential</w:t>
      </w:r>
      <w:proofErr w:type="gramEnd"/>
    </w:p>
    <w:p w14:paraId="78B63F21" w14:textId="3E833D9D" w:rsidR="00A9740A" w:rsidRPr="007C5F12" w:rsidRDefault="00A9740A" w:rsidP="00263F17">
      <w:pPr>
        <w:pStyle w:val="PSC-Bullets1"/>
      </w:pPr>
      <w:r w:rsidRPr="007C5F12">
        <w:t xml:space="preserve">Be </w:t>
      </w:r>
      <w:proofErr w:type="gramStart"/>
      <w:r w:rsidR="00754540" w:rsidRPr="007C5F12">
        <w:t>courageous</w:t>
      </w:r>
      <w:proofErr w:type="gramEnd"/>
    </w:p>
    <w:p w14:paraId="02A0C9F5" w14:textId="5B03B92C" w:rsidR="00A9740A" w:rsidRPr="007C5F12" w:rsidRDefault="00A9740A" w:rsidP="00263F17">
      <w:pPr>
        <w:pStyle w:val="PSC-Bullets1"/>
      </w:pPr>
      <w:r w:rsidRPr="007C5F12">
        <w:t xml:space="preserve">Empower </w:t>
      </w:r>
      <w:proofErr w:type="gramStart"/>
      <w:r w:rsidRPr="007C5F12">
        <w:t>peopl</w:t>
      </w:r>
      <w:r w:rsidR="0024001A" w:rsidRPr="007C5F12">
        <w:t>e</w:t>
      </w:r>
      <w:proofErr w:type="gramEnd"/>
    </w:p>
    <w:p w14:paraId="1BE046E8" w14:textId="4C2F8564" w:rsidR="000F7FB9" w:rsidRPr="00A96D24" w:rsidRDefault="000F7FB9" w:rsidP="00A96D24">
      <w:pPr>
        <w:pStyle w:val="PSCHeading2"/>
      </w:pPr>
      <w:bookmarkStart w:id="86" w:name="_Toc74055886"/>
      <w:bookmarkStart w:id="87" w:name="_Toc76549842"/>
      <w:bookmarkStart w:id="88" w:name="_Toc79493351"/>
      <w:bookmarkStart w:id="89" w:name="_Toc141781786"/>
      <w:bookmarkStart w:id="90" w:name="_Toc141781948"/>
      <w:bookmarkStart w:id="91" w:name="_Toc145926895"/>
      <w:r w:rsidRPr="00A96D24">
        <w:t>Workforce reporting</w:t>
      </w:r>
      <w:bookmarkEnd w:id="86"/>
      <w:bookmarkEnd w:id="87"/>
      <w:bookmarkEnd w:id="88"/>
      <w:bookmarkEnd w:id="89"/>
      <w:bookmarkEnd w:id="90"/>
      <w:bookmarkEnd w:id="91"/>
    </w:p>
    <w:p w14:paraId="060CE89C" w14:textId="0A27121B" w:rsidR="000F7FB9" w:rsidRDefault="5FE80862" w:rsidP="003661A7">
      <w:pPr>
        <w:pStyle w:val="PSC-Body"/>
      </w:pPr>
      <w:r>
        <w:t xml:space="preserve">Under the Act, </w:t>
      </w:r>
      <w:r w:rsidR="000F7FB9">
        <w:t xml:space="preserve">the Commission is responsible for workforce reporting. </w:t>
      </w:r>
    </w:p>
    <w:p w14:paraId="3844503C" w14:textId="49294593" w:rsidR="000F7FB9" w:rsidRDefault="4DABDC56" w:rsidP="00D10873">
      <w:pPr>
        <w:pStyle w:val="PSC-Body"/>
        <w:spacing w:after="0"/>
      </w:pPr>
      <w:r>
        <w:t>During 202</w:t>
      </w:r>
      <w:r w:rsidR="00D25626">
        <w:t>2</w:t>
      </w:r>
      <w:r>
        <w:t>–2</w:t>
      </w:r>
      <w:r w:rsidR="00D25626">
        <w:t>3</w:t>
      </w:r>
      <w:r>
        <w:t xml:space="preserve">, the Commission released: </w:t>
      </w:r>
    </w:p>
    <w:p w14:paraId="6CAE8E4C" w14:textId="75C3CD1C" w:rsidR="00D44B6C" w:rsidRPr="00BB0DDD" w:rsidRDefault="00CC0910" w:rsidP="00626000">
      <w:pPr>
        <w:pStyle w:val="PSC-Bullets1"/>
      </w:pPr>
      <w:r w:rsidRPr="00BB0DDD">
        <w:t>t</w:t>
      </w:r>
      <w:r w:rsidR="00FC2DC3" w:rsidRPr="00BB0DDD">
        <w:t>he Queensland public sector workforce profile reports for September 202</w:t>
      </w:r>
      <w:r w:rsidR="005D63EB" w:rsidRPr="00BB0DDD">
        <w:t>2</w:t>
      </w:r>
      <w:r w:rsidR="00FC2DC3" w:rsidRPr="00BB0DDD">
        <w:t xml:space="preserve"> and March 202</w:t>
      </w:r>
      <w:r w:rsidR="005D63EB" w:rsidRPr="00BB0DDD">
        <w:t>3</w:t>
      </w:r>
      <w:r w:rsidR="00FC2DC3" w:rsidRPr="00BB0DDD">
        <w:t xml:space="preserve"> </w:t>
      </w:r>
    </w:p>
    <w:p w14:paraId="5B6BAED1" w14:textId="797DAD74" w:rsidR="007D49A7" w:rsidRPr="007D49A7" w:rsidRDefault="491B4675">
      <w:pPr>
        <w:pStyle w:val="PSC-Bullets1"/>
      </w:pPr>
      <w:r w:rsidRPr="00BB0DDD">
        <w:t xml:space="preserve">annual reporting of information about work performance matters handled by each agency in accordance with section 88N of the </w:t>
      </w:r>
      <w:r w:rsidR="0030446E">
        <w:t>now repealed</w:t>
      </w:r>
      <w:r w:rsidR="0030446E" w:rsidRPr="00BB0DDD">
        <w:t xml:space="preserve"> </w:t>
      </w:r>
      <w:r w:rsidRPr="007D49A7">
        <w:rPr>
          <w:i/>
          <w:iCs/>
        </w:rPr>
        <w:t>Public Service Act 2008</w:t>
      </w:r>
      <w:r w:rsidR="005E43D7" w:rsidRPr="007D49A7">
        <w:rPr>
          <w:i/>
          <w:iCs/>
        </w:rPr>
        <w:t>.</w:t>
      </w:r>
      <w:bookmarkStart w:id="92" w:name="_Toc79493352"/>
      <w:bookmarkStart w:id="93" w:name="_Toc141781787"/>
      <w:bookmarkStart w:id="94" w:name="_Toc141781949"/>
    </w:p>
    <w:p w14:paraId="066CE81B" w14:textId="7684B048" w:rsidR="000F7FB9" w:rsidRPr="00A96D24" w:rsidRDefault="000F7FB9" w:rsidP="00A96D24">
      <w:pPr>
        <w:pStyle w:val="PSCHeading2"/>
      </w:pPr>
      <w:bookmarkStart w:id="95" w:name="_Toc145926896"/>
      <w:r w:rsidRPr="00A96D24">
        <w:t>More information</w:t>
      </w:r>
      <w:bookmarkEnd w:id="92"/>
      <w:bookmarkEnd w:id="93"/>
      <w:bookmarkEnd w:id="94"/>
      <w:bookmarkEnd w:id="95"/>
    </w:p>
    <w:p w14:paraId="4F0060B8" w14:textId="1157E7D6" w:rsidR="007D49A7" w:rsidRDefault="000F7FB9" w:rsidP="007F3AAC">
      <w:pPr>
        <w:pStyle w:val="PSC-Body"/>
        <w:rPr>
          <w:rStyle w:val="Hyperlink"/>
          <w:b w:val="0"/>
          <w:iCs/>
          <w:color w:val="auto"/>
          <w:u w:val="none"/>
        </w:rPr>
      </w:pPr>
      <w:r w:rsidRPr="0036181A">
        <w:t xml:space="preserve">Visit our </w:t>
      </w:r>
      <w:hyperlink r:id="rId25" w:history="1">
        <w:r w:rsidRPr="0036181A">
          <w:rPr>
            <w:rStyle w:val="Hyperlink"/>
            <w:b w:val="0"/>
            <w:bCs/>
            <w:color w:val="auto"/>
          </w:rPr>
          <w:t>website</w:t>
        </w:r>
      </w:hyperlink>
      <w:r w:rsidR="00172864">
        <w:rPr>
          <w:rStyle w:val="FootnoteReference"/>
          <w:bCs/>
          <w:u w:val="single"/>
        </w:rPr>
        <w:footnoteReference w:id="6"/>
      </w:r>
      <w:r w:rsidRPr="0036181A">
        <w:t xml:space="preserve"> to learn more about our business areas and their functions</w:t>
      </w:r>
      <w:r w:rsidR="008B5FD8">
        <w:t>.</w:t>
      </w:r>
      <w:bookmarkStart w:id="96" w:name="_Toc1052199522"/>
      <w:bookmarkStart w:id="97" w:name="_Toc141342843"/>
      <w:bookmarkStart w:id="98" w:name="_Toc141781788"/>
      <w:bookmarkStart w:id="99" w:name="_Toc141781950"/>
      <w:r w:rsidR="007D49A7">
        <w:rPr>
          <w:rStyle w:val="Hyperlink"/>
          <w:b w:val="0"/>
          <w:iCs/>
          <w:color w:val="auto"/>
          <w:u w:val="none"/>
        </w:rPr>
        <w:br w:type="page"/>
      </w:r>
    </w:p>
    <w:p w14:paraId="5C3475B3" w14:textId="5A06B952" w:rsidR="005E5B6D" w:rsidRPr="00AE4221" w:rsidRDefault="001A537D" w:rsidP="007D49A7">
      <w:pPr>
        <w:pStyle w:val="PSCHeading1"/>
      </w:pPr>
      <w:bookmarkStart w:id="100" w:name="_Toc145926897"/>
      <w:r>
        <w:lastRenderedPageBreak/>
        <w:t xml:space="preserve">Office of the Special </w:t>
      </w:r>
      <w:r w:rsidRPr="00AE4221">
        <w:t>Commissioner, Equity and Diversity</w:t>
      </w:r>
      <w:bookmarkEnd w:id="80"/>
      <w:bookmarkEnd w:id="81"/>
      <w:bookmarkEnd w:id="96"/>
      <w:bookmarkEnd w:id="97"/>
      <w:bookmarkEnd w:id="98"/>
      <w:bookmarkEnd w:id="99"/>
      <w:bookmarkEnd w:id="100"/>
    </w:p>
    <w:p w14:paraId="0C6CD1A9" w14:textId="389B623A" w:rsidR="154B56DC" w:rsidRPr="00AE4221" w:rsidRDefault="003F7A71" w:rsidP="00D10873">
      <w:pPr>
        <w:pStyle w:val="PSC-Body"/>
        <w:spacing w:after="0"/>
        <w:rPr>
          <w:rFonts w:eastAsia="MS Mincho"/>
          <w:sz w:val="18"/>
          <w:szCs w:val="18"/>
        </w:rPr>
      </w:pPr>
      <w:r>
        <w:rPr>
          <w:lang w:val="en-US"/>
        </w:rPr>
        <w:t>The Office of the</w:t>
      </w:r>
      <w:r w:rsidR="154B56DC" w:rsidRPr="00AE4221">
        <w:rPr>
          <w:lang w:val="en-US"/>
        </w:rPr>
        <w:t xml:space="preserve"> Special Commissioner, Equity and Diversity continues to progress initiatives </w:t>
      </w:r>
      <w:r w:rsidR="00C577B3">
        <w:rPr>
          <w:lang w:val="en-US"/>
        </w:rPr>
        <w:t>that</w:t>
      </w:r>
      <w:r w:rsidR="154B56DC" w:rsidRPr="00AE4221">
        <w:rPr>
          <w:lang w:val="en-US"/>
        </w:rPr>
        <w:t xml:space="preserve"> identify and address disparities across the sector. These initiatives aim to enhance policy, procedures and practice that improve employment outcomes for:</w:t>
      </w:r>
    </w:p>
    <w:p w14:paraId="3FFE2B27" w14:textId="4AE50348" w:rsidR="154B56DC" w:rsidRPr="00AE4221" w:rsidRDefault="154B56DC" w:rsidP="00A04BAE">
      <w:pPr>
        <w:pStyle w:val="PSC-Bullets1"/>
        <w:rPr>
          <w:rFonts w:eastAsia="MS Mincho"/>
          <w:sz w:val="18"/>
          <w:szCs w:val="18"/>
        </w:rPr>
      </w:pPr>
      <w:r w:rsidRPr="1E0A7C03">
        <w:rPr>
          <w:lang w:val="en-US"/>
        </w:rPr>
        <w:t>women</w:t>
      </w:r>
    </w:p>
    <w:p w14:paraId="2C7CC09F" w14:textId="7F8696C1" w:rsidR="154B56DC" w:rsidRPr="00AE4221" w:rsidRDefault="154B56DC" w:rsidP="00A04BAE">
      <w:pPr>
        <w:pStyle w:val="PSC-Bullets1"/>
        <w:rPr>
          <w:rFonts w:eastAsia="MS Mincho"/>
          <w:sz w:val="18"/>
          <w:szCs w:val="18"/>
        </w:rPr>
      </w:pPr>
      <w:r w:rsidRPr="1E0A7C03">
        <w:rPr>
          <w:lang w:val="en-US"/>
        </w:rPr>
        <w:t>people with disability</w:t>
      </w:r>
    </w:p>
    <w:p w14:paraId="17BA0B99" w14:textId="23DF1AE4" w:rsidR="154B56DC" w:rsidRPr="00AE4221" w:rsidRDefault="154B56DC" w:rsidP="00A04BAE">
      <w:pPr>
        <w:pStyle w:val="PSC-Bullets1"/>
        <w:rPr>
          <w:rFonts w:eastAsia="MS Mincho"/>
          <w:sz w:val="18"/>
          <w:szCs w:val="18"/>
        </w:rPr>
      </w:pPr>
      <w:r w:rsidRPr="1E0A7C03">
        <w:rPr>
          <w:lang w:val="en-US"/>
        </w:rPr>
        <w:t>Aboriginal</w:t>
      </w:r>
      <w:r w:rsidR="00D6289C" w:rsidRPr="1E0A7C03">
        <w:rPr>
          <w:lang w:val="en-US"/>
        </w:rPr>
        <w:t xml:space="preserve"> peoples</w:t>
      </w:r>
      <w:r w:rsidRPr="1E0A7C03">
        <w:rPr>
          <w:lang w:val="en-US"/>
        </w:rPr>
        <w:t xml:space="preserve"> and Torres Strait Islander peoples</w:t>
      </w:r>
    </w:p>
    <w:p w14:paraId="1418F341" w14:textId="2DE1853A" w:rsidR="154B56DC" w:rsidRPr="00AE4221" w:rsidRDefault="154B56DC" w:rsidP="00A04BAE">
      <w:pPr>
        <w:pStyle w:val="PSC-Bullets1"/>
        <w:rPr>
          <w:rFonts w:eastAsia="MS Mincho"/>
          <w:sz w:val="18"/>
          <w:szCs w:val="18"/>
        </w:rPr>
      </w:pPr>
      <w:r w:rsidRPr="1E0A7C03">
        <w:rPr>
          <w:lang w:val="en-US"/>
        </w:rPr>
        <w:t>culturally and linguistically diverse people</w:t>
      </w:r>
    </w:p>
    <w:p w14:paraId="4B2621E2" w14:textId="0DA7CFFC" w:rsidR="154B56DC" w:rsidRPr="00AE4221" w:rsidRDefault="154B56DC" w:rsidP="00A04BAE">
      <w:pPr>
        <w:pStyle w:val="PSC-Bullets1"/>
        <w:rPr>
          <w:rFonts w:eastAsia="MS Mincho"/>
          <w:sz w:val="18"/>
          <w:szCs w:val="18"/>
        </w:rPr>
      </w:pPr>
      <w:r w:rsidRPr="1E0A7C03">
        <w:rPr>
          <w:lang w:val="en-US"/>
        </w:rPr>
        <w:t>LGBTIQ+ people.</w:t>
      </w:r>
    </w:p>
    <w:p w14:paraId="74030F9F" w14:textId="56C53571" w:rsidR="154B56DC" w:rsidRPr="00AE4221" w:rsidRDefault="154B56DC" w:rsidP="00A96D24">
      <w:pPr>
        <w:pStyle w:val="PSCHeading2"/>
        <w:rPr>
          <w:rFonts w:eastAsia="MS Mincho"/>
          <w:sz w:val="18"/>
          <w:szCs w:val="18"/>
        </w:rPr>
      </w:pPr>
      <w:bookmarkStart w:id="101" w:name="_Toc145926898"/>
      <w:r w:rsidRPr="00AE4221">
        <w:rPr>
          <w:lang w:val="en-US"/>
        </w:rPr>
        <w:t>Key outcomes</w:t>
      </w:r>
      <w:bookmarkEnd w:id="101"/>
    </w:p>
    <w:p w14:paraId="5F6C0DCE" w14:textId="6A343DFB" w:rsidR="154B56DC" w:rsidRPr="00AE4221" w:rsidRDefault="154B56DC" w:rsidP="00D10873">
      <w:pPr>
        <w:pStyle w:val="PSC-Body"/>
        <w:spacing w:after="0"/>
        <w:rPr>
          <w:rFonts w:eastAsia="MS Mincho"/>
          <w:sz w:val="18"/>
          <w:szCs w:val="18"/>
        </w:rPr>
      </w:pPr>
      <w:r w:rsidRPr="00AE4221">
        <w:rPr>
          <w:lang w:val="en-US"/>
        </w:rPr>
        <w:t>In 2022–23, key outcomes include:</w:t>
      </w:r>
    </w:p>
    <w:p w14:paraId="4A764001" w14:textId="2F62CA56" w:rsidR="154B56DC" w:rsidRPr="00175C4B" w:rsidRDefault="00365051" w:rsidP="00A04BAE">
      <w:pPr>
        <w:pStyle w:val="PSC-Bullets1"/>
        <w:rPr>
          <w:color w:val="auto"/>
        </w:rPr>
      </w:pPr>
      <w:r>
        <w:rPr>
          <w:rFonts w:eastAsia="Times New Roman"/>
        </w:rPr>
        <w:t>reducing the gender pay gap in the Queensland public sector</w:t>
      </w:r>
      <w:r w:rsidR="154B56DC" w:rsidRPr="0065748F">
        <w:t xml:space="preserve"> from 7.64</w:t>
      </w:r>
      <w:r w:rsidR="00D656D5">
        <w:t>%</w:t>
      </w:r>
      <w:r w:rsidR="154B56DC" w:rsidRPr="0065748F">
        <w:t xml:space="preserve"> in June </w:t>
      </w:r>
      <w:r w:rsidR="154B56DC" w:rsidRPr="00175C4B">
        <w:rPr>
          <w:color w:val="auto"/>
        </w:rPr>
        <w:t>202</w:t>
      </w:r>
      <w:r w:rsidR="00847E38" w:rsidRPr="00175C4B">
        <w:rPr>
          <w:color w:val="auto"/>
        </w:rPr>
        <w:t>2</w:t>
      </w:r>
      <w:r w:rsidR="154B56DC" w:rsidRPr="00175C4B">
        <w:rPr>
          <w:color w:val="auto"/>
        </w:rPr>
        <w:t xml:space="preserve"> to </w:t>
      </w:r>
      <w:r w:rsidR="00A37D6E" w:rsidRPr="00175C4B">
        <w:rPr>
          <w:color w:val="auto"/>
        </w:rPr>
        <w:t>6.31</w:t>
      </w:r>
      <w:r w:rsidR="154B56DC" w:rsidRPr="00175C4B">
        <w:rPr>
          <w:color w:val="auto"/>
        </w:rPr>
        <w:t xml:space="preserve">% in </w:t>
      </w:r>
      <w:r w:rsidR="00A37D6E" w:rsidRPr="00175C4B">
        <w:rPr>
          <w:color w:val="auto"/>
        </w:rPr>
        <w:t>June</w:t>
      </w:r>
      <w:r w:rsidR="154B56DC" w:rsidRPr="00175C4B">
        <w:rPr>
          <w:color w:val="auto"/>
        </w:rPr>
        <w:t xml:space="preserve"> 2023</w:t>
      </w:r>
      <w:r w:rsidR="00D1140C" w:rsidRPr="00175C4B">
        <w:rPr>
          <w:rStyle w:val="FootnoteReference"/>
          <w:color w:val="auto"/>
        </w:rPr>
        <w:footnoteReference w:id="7"/>
      </w:r>
      <w:r w:rsidR="154B56DC" w:rsidRPr="00175C4B">
        <w:rPr>
          <w:color w:val="auto"/>
        </w:rPr>
        <w:t xml:space="preserve"> </w:t>
      </w:r>
    </w:p>
    <w:p w14:paraId="2610B419" w14:textId="02D00204" w:rsidR="00F80EB8" w:rsidRPr="0019218F" w:rsidRDefault="00D1140C" w:rsidP="00D23173">
      <w:pPr>
        <w:pStyle w:val="PSC-Bullets1"/>
      </w:pPr>
      <w:r w:rsidRPr="00175C4B">
        <w:rPr>
          <w:color w:val="auto"/>
        </w:rPr>
        <w:t xml:space="preserve">publishing </w:t>
      </w:r>
      <w:r w:rsidR="154B56DC" w:rsidRPr="00175C4B">
        <w:rPr>
          <w:color w:val="auto"/>
        </w:rPr>
        <w:t>the</w:t>
      </w:r>
      <w:r w:rsidR="17EF4F86" w:rsidRPr="00175C4B">
        <w:rPr>
          <w:color w:val="auto"/>
        </w:rPr>
        <w:t xml:space="preserve"> </w:t>
      </w:r>
      <w:hyperlink r:id="rId26" w:history="1">
        <w:r w:rsidR="00505CC9" w:rsidRPr="004267EB">
          <w:rPr>
            <w:rStyle w:val="Hyperlink"/>
            <w:b w:val="0"/>
            <w:i/>
            <w:iCs/>
            <w:color w:val="080808"/>
          </w:rPr>
          <w:t>Queensland</w:t>
        </w:r>
        <w:r w:rsidR="00ED69E5" w:rsidRPr="004267EB">
          <w:rPr>
            <w:rStyle w:val="Hyperlink"/>
            <w:b w:val="0"/>
            <w:i/>
            <w:iCs/>
            <w:color w:val="080808"/>
          </w:rPr>
          <w:t xml:space="preserve"> </w:t>
        </w:r>
        <w:r w:rsidR="0019218F" w:rsidRPr="004267EB">
          <w:rPr>
            <w:rStyle w:val="Hyperlink"/>
            <w:b w:val="0"/>
            <w:i/>
            <w:iCs/>
            <w:color w:val="080808"/>
          </w:rPr>
          <w:t xml:space="preserve">public </w:t>
        </w:r>
        <w:r w:rsidR="007957C7">
          <w:rPr>
            <w:rStyle w:val="Hyperlink"/>
            <w:b w:val="0"/>
            <w:i/>
            <w:iCs/>
            <w:color w:val="080808"/>
          </w:rPr>
          <w:t xml:space="preserve">sector </w:t>
        </w:r>
        <w:r w:rsidR="004A4A7C">
          <w:rPr>
            <w:rStyle w:val="Hyperlink"/>
            <w:b w:val="0"/>
            <w:i/>
            <w:iCs/>
            <w:color w:val="080808"/>
          </w:rPr>
          <w:t>G</w:t>
        </w:r>
        <w:r w:rsidR="0019218F" w:rsidRPr="004267EB">
          <w:rPr>
            <w:rStyle w:val="Hyperlink"/>
            <w:b w:val="0"/>
            <w:i/>
            <w:iCs/>
            <w:color w:val="080808"/>
          </w:rPr>
          <w:t>ender pay equity dashboard</w:t>
        </w:r>
      </w:hyperlink>
      <w:r w:rsidR="0019218F" w:rsidRPr="004267EB">
        <w:rPr>
          <w:rStyle w:val="FootnoteReference"/>
          <w:i/>
          <w:iCs/>
        </w:rPr>
        <w:footnoteReference w:id="8"/>
      </w:r>
      <w:r w:rsidR="0019218F" w:rsidRPr="004267EB">
        <w:rPr>
          <w:rStyle w:val="CommentReference"/>
          <w:rFonts w:eastAsiaTheme="minorEastAsia" w:cstheme="minorBidi"/>
        </w:rPr>
        <w:t xml:space="preserve">, </w:t>
      </w:r>
      <w:r w:rsidR="002F2EE3" w:rsidRPr="002F2EE3">
        <w:t>to increase the transparency of gender equity data and to contribute to legislative changes in the Act</w:t>
      </w:r>
    </w:p>
    <w:p w14:paraId="1BB4774D" w14:textId="01FC9A67" w:rsidR="154B56DC" w:rsidRPr="0065748F" w:rsidRDefault="004D3AE5" w:rsidP="00A04BAE">
      <w:pPr>
        <w:pStyle w:val="PSC-Bullets1"/>
      </w:pPr>
      <w:r>
        <w:t>developing a</w:t>
      </w:r>
      <w:r w:rsidR="00825005">
        <w:t xml:space="preserve"> new progressive approach to recruitment and selection</w:t>
      </w:r>
    </w:p>
    <w:p w14:paraId="00B8408C" w14:textId="11A85D46" w:rsidR="009563AC" w:rsidRDefault="004E4B09" w:rsidP="008032E9">
      <w:pPr>
        <w:pStyle w:val="PSC-Bullets1"/>
        <w:spacing w:after="0"/>
      </w:pPr>
      <w:r>
        <w:t xml:space="preserve">conducting </w:t>
      </w:r>
      <w:r w:rsidR="00825005">
        <w:t>a</w:t>
      </w:r>
      <w:r w:rsidR="002B6A16">
        <w:t>n</w:t>
      </w:r>
      <w:r w:rsidR="154B56DC" w:rsidRPr="0065748F">
        <w:t xml:space="preserve"> equity and diversity audit </w:t>
      </w:r>
      <w:r w:rsidR="00B638BF">
        <w:t xml:space="preserve">of </w:t>
      </w:r>
      <w:r w:rsidR="00792894">
        <w:t>the</w:t>
      </w:r>
      <w:r w:rsidR="154B56DC" w:rsidRPr="0065748F">
        <w:t xml:space="preserve"> public sector</w:t>
      </w:r>
      <w:r w:rsidR="00B638BF">
        <w:t>, which:</w:t>
      </w:r>
    </w:p>
    <w:p w14:paraId="7EC85F94" w14:textId="5AE8A35A" w:rsidR="009563AC" w:rsidRDefault="009563AC" w:rsidP="00B5176C">
      <w:pPr>
        <w:pStyle w:val="Bullets2secondindent"/>
      </w:pPr>
      <w:r>
        <w:t>established</w:t>
      </w:r>
      <w:r w:rsidR="003A2D91">
        <w:t xml:space="preserve"> </w:t>
      </w:r>
      <w:proofErr w:type="gramStart"/>
      <w:r w:rsidR="003A2D91">
        <w:t>a</w:t>
      </w:r>
      <w:r>
        <w:t xml:space="preserve"> </w:t>
      </w:r>
      <w:r w:rsidR="00D656D5">
        <w:t>sector-wide evidence</w:t>
      </w:r>
      <w:proofErr w:type="gramEnd"/>
      <w:r>
        <w:t xml:space="preserve"> base</w:t>
      </w:r>
    </w:p>
    <w:p w14:paraId="32B70988" w14:textId="613C2BAC" w:rsidR="009563AC" w:rsidRDefault="009563AC" w:rsidP="00B5176C">
      <w:pPr>
        <w:pStyle w:val="Bullets2secondindent"/>
      </w:pPr>
      <w:r>
        <w:t xml:space="preserve">increased </w:t>
      </w:r>
      <w:r w:rsidR="004E4B09">
        <w:t>awareness</w:t>
      </w:r>
      <w:r w:rsidR="12664A76">
        <w:t xml:space="preserve"> of equity and diversity issues</w:t>
      </w:r>
    </w:p>
    <w:p w14:paraId="5E03AADA" w14:textId="324D309E" w:rsidR="154B56DC" w:rsidRPr="0065748F" w:rsidRDefault="009563AC" w:rsidP="00B5176C">
      <w:pPr>
        <w:pStyle w:val="Bullets2secondindent"/>
      </w:pPr>
      <w:r>
        <w:t xml:space="preserve">promoted data </w:t>
      </w:r>
      <w:r w:rsidR="00E9150A">
        <w:t xml:space="preserve">driven strategies to address </w:t>
      </w:r>
      <w:proofErr w:type="gramStart"/>
      <w:r w:rsidR="00E9150A">
        <w:t>inequities</w:t>
      </w:r>
      <w:proofErr w:type="gramEnd"/>
    </w:p>
    <w:p w14:paraId="49695DEE" w14:textId="3C9E7FAF" w:rsidR="154B56DC" w:rsidRPr="0065748F" w:rsidRDefault="003F3D89" w:rsidP="008032E9">
      <w:pPr>
        <w:pStyle w:val="PSC-Bullets1"/>
      </w:pPr>
      <w:r>
        <w:t>supporting</w:t>
      </w:r>
      <w:r w:rsidR="154B56DC">
        <w:t xml:space="preserve"> agencies to develop equity and diversity action </w:t>
      </w:r>
      <w:proofErr w:type="gramStart"/>
      <w:r w:rsidR="154B56DC">
        <w:t>plans</w:t>
      </w:r>
      <w:proofErr w:type="gramEnd"/>
    </w:p>
    <w:p w14:paraId="3311E2D9" w14:textId="11A4F263" w:rsidR="154B56DC" w:rsidRPr="0065748F" w:rsidRDefault="00390287" w:rsidP="008032E9">
      <w:pPr>
        <w:pStyle w:val="PSC-Bullets1"/>
      </w:pPr>
      <w:r>
        <w:t>designing</w:t>
      </w:r>
      <w:r w:rsidR="154B56DC">
        <w:t xml:space="preserve"> initiatives </w:t>
      </w:r>
      <w:r w:rsidR="00A27B7A">
        <w:t xml:space="preserve">that </w:t>
      </w:r>
      <w:r w:rsidR="154B56DC">
        <w:t xml:space="preserve">address the under-representation of women at senior </w:t>
      </w:r>
      <w:proofErr w:type="gramStart"/>
      <w:r w:rsidR="154B56DC">
        <w:t>levels</w:t>
      </w:r>
      <w:proofErr w:type="gramEnd"/>
      <w:r w:rsidR="154B56DC">
        <w:t xml:space="preserve"> </w:t>
      </w:r>
    </w:p>
    <w:p w14:paraId="54CEEA7E" w14:textId="3AF3B876" w:rsidR="154B56DC" w:rsidRPr="0065748F" w:rsidRDefault="00810361" w:rsidP="008032E9">
      <w:pPr>
        <w:pStyle w:val="PSC-Bullets1"/>
      </w:pPr>
      <w:r>
        <w:t>s</w:t>
      </w:r>
      <w:r w:rsidR="154B56DC">
        <w:t>upport</w:t>
      </w:r>
      <w:r w:rsidR="00282EEA">
        <w:t>ing</w:t>
      </w:r>
      <w:r w:rsidR="154B56DC">
        <w:t xml:space="preserve"> equity in enterprise bargaining agreements</w:t>
      </w:r>
    </w:p>
    <w:p w14:paraId="73734281" w14:textId="7CDD5DD6" w:rsidR="154B56DC" w:rsidRPr="0065748F" w:rsidRDefault="003F3D89" w:rsidP="008032E9">
      <w:pPr>
        <w:pStyle w:val="PSC-Bullets1"/>
      </w:pPr>
      <w:r>
        <w:t xml:space="preserve">developing </w:t>
      </w:r>
      <w:r w:rsidR="154B56DC">
        <w:t xml:space="preserve">a nation-leading framework for preventing and responding to sexual harassment in the sector </w:t>
      </w:r>
    </w:p>
    <w:p w14:paraId="48DA4AE3" w14:textId="0AB98F72" w:rsidR="154B56DC" w:rsidRPr="0065748F" w:rsidRDefault="0030767D" w:rsidP="008032E9">
      <w:pPr>
        <w:pStyle w:val="PSC-Bullets1"/>
      </w:pPr>
      <w:r>
        <w:t>conducting</w:t>
      </w:r>
      <w:r w:rsidR="001C1EEF">
        <w:t xml:space="preserve"> the Queensland</w:t>
      </w:r>
      <w:r w:rsidR="00CC3D73">
        <w:t xml:space="preserve"> public sector r</w:t>
      </w:r>
      <w:r w:rsidR="154B56DC">
        <w:t xml:space="preserve">espect in the </w:t>
      </w:r>
      <w:r w:rsidR="00CC3D73">
        <w:t>w</w:t>
      </w:r>
      <w:r w:rsidR="154B56DC">
        <w:t xml:space="preserve">orkplace </w:t>
      </w:r>
      <w:r w:rsidR="00CC3D73">
        <w:t>s</w:t>
      </w:r>
      <w:r w:rsidR="154B56DC">
        <w:t>urvey</w:t>
      </w:r>
      <w:r w:rsidR="00F87FB4">
        <w:t xml:space="preserve"> to understand</w:t>
      </w:r>
      <w:r w:rsidR="00F0675A">
        <w:t xml:space="preserve"> employee experiences </w:t>
      </w:r>
      <w:r w:rsidR="004456C8">
        <w:t>and</w:t>
      </w:r>
      <w:r w:rsidR="00AC534F">
        <w:t xml:space="preserve"> </w:t>
      </w:r>
      <w:r w:rsidR="000C6E0A">
        <w:t xml:space="preserve">perception </w:t>
      </w:r>
      <w:r w:rsidR="00985740">
        <w:t xml:space="preserve">about </w:t>
      </w:r>
      <w:r w:rsidR="00AC534F">
        <w:t xml:space="preserve">sexual harassment in </w:t>
      </w:r>
      <w:r w:rsidR="00364E66">
        <w:t>the</w:t>
      </w:r>
      <w:r w:rsidR="00AC534F">
        <w:t xml:space="preserve"> </w:t>
      </w:r>
      <w:proofErr w:type="gramStart"/>
      <w:r w:rsidR="00AC534F">
        <w:t>workplace</w:t>
      </w:r>
      <w:proofErr w:type="gramEnd"/>
    </w:p>
    <w:p w14:paraId="2E873052" w14:textId="4EEE7BF6" w:rsidR="154B56DC" w:rsidRPr="0065748F" w:rsidRDefault="00985740" w:rsidP="008032E9">
      <w:pPr>
        <w:pStyle w:val="PSC-Bullets1"/>
      </w:pPr>
      <w:r>
        <w:t xml:space="preserve">reviewing </w:t>
      </w:r>
      <w:r w:rsidR="154B56DC">
        <w:t xml:space="preserve">employment conditions, </w:t>
      </w:r>
      <w:r w:rsidR="00AD52CD">
        <w:t xml:space="preserve">and proposing enhancements </w:t>
      </w:r>
      <w:r w:rsidR="0093672E">
        <w:t xml:space="preserve">to </w:t>
      </w:r>
      <w:r w:rsidR="154B56DC">
        <w:t xml:space="preserve">position the sector as an employer of choice for women and people with </w:t>
      </w:r>
      <w:r w:rsidR="0098516E">
        <w:t>responsib</w:t>
      </w:r>
      <w:r w:rsidR="006A75A9">
        <w:t>ility</w:t>
      </w:r>
      <w:r w:rsidR="0098516E">
        <w:t xml:space="preserve"> </w:t>
      </w:r>
      <w:r w:rsidR="154B56DC">
        <w:t xml:space="preserve">for </w:t>
      </w:r>
      <w:proofErr w:type="gramStart"/>
      <w:r w:rsidR="154B56DC">
        <w:t>children</w:t>
      </w:r>
      <w:proofErr w:type="gramEnd"/>
    </w:p>
    <w:p w14:paraId="1C0C08F4" w14:textId="61AFBA89" w:rsidR="154B56DC" w:rsidRPr="0065748F" w:rsidRDefault="00383B0B" w:rsidP="008032E9">
      <w:pPr>
        <w:pStyle w:val="PSC-Bullets1"/>
      </w:pPr>
      <w:r>
        <w:t xml:space="preserve">establishing </w:t>
      </w:r>
      <w:r w:rsidR="154B56DC">
        <w:t xml:space="preserve">an LGBTIQ+ project </w:t>
      </w:r>
      <w:r w:rsidR="00C35C6B">
        <w:t>to</w:t>
      </w:r>
      <w:r w:rsidR="154B56DC">
        <w:t xml:space="preserve"> </w:t>
      </w:r>
      <w:r w:rsidR="000C63C0">
        <w:t xml:space="preserve">provide </w:t>
      </w:r>
      <w:r w:rsidR="00C35C6B">
        <w:t>better data</w:t>
      </w:r>
      <w:r w:rsidR="154B56DC">
        <w:t xml:space="preserve"> </w:t>
      </w:r>
      <w:r w:rsidR="00340E20">
        <w:t>to</w:t>
      </w:r>
      <w:r w:rsidR="00880186">
        <w:t xml:space="preserve"> understand </w:t>
      </w:r>
      <w:r w:rsidR="154B56DC">
        <w:t xml:space="preserve">representation of this cohort and </w:t>
      </w:r>
      <w:r w:rsidR="00602E41">
        <w:t xml:space="preserve">their experience in the </w:t>
      </w:r>
      <w:proofErr w:type="gramStart"/>
      <w:r w:rsidR="00602E41">
        <w:t>sector</w:t>
      </w:r>
      <w:proofErr w:type="gramEnd"/>
      <w:r w:rsidR="154B56DC">
        <w:t xml:space="preserve"> </w:t>
      </w:r>
    </w:p>
    <w:p w14:paraId="5DB3BF4E" w14:textId="63A8CF2C" w:rsidR="154B56DC" w:rsidRPr="0065748F" w:rsidRDefault="007471B4" w:rsidP="008032E9">
      <w:pPr>
        <w:pStyle w:val="PSC-Bullets1"/>
      </w:pPr>
      <w:r>
        <w:t xml:space="preserve">contributing </w:t>
      </w:r>
      <w:r w:rsidR="154B56DC">
        <w:t xml:space="preserve">to the national agenda on gender pay equity </w:t>
      </w:r>
      <w:r w:rsidR="005F763F">
        <w:t xml:space="preserve">by </w:t>
      </w:r>
      <w:r w:rsidR="154B56DC">
        <w:t xml:space="preserve">collaborating with other Australian public sector jurisdictions </w:t>
      </w:r>
      <w:r w:rsidR="00946D67">
        <w:t>on</w:t>
      </w:r>
      <w:r w:rsidR="00496D0A">
        <w:t xml:space="preserve"> </w:t>
      </w:r>
      <w:r w:rsidR="00D77A4F">
        <w:t>joining</w:t>
      </w:r>
      <w:r w:rsidR="154B56DC">
        <w:t xml:space="preserve"> the national equality reporting </w:t>
      </w:r>
      <w:proofErr w:type="gramStart"/>
      <w:r w:rsidR="154B56DC">
        <w:t>regime</w:t>
      </w:r>
      <w:proofErr w:type="gramEnd"/>
    </w:p>
    <w:p w14:paraId="63F14A5B" w14:textId="4576028A" w:rsidR="154B56DC" w:rsidRPr="0065748F" w:rsidRDefault="005F763F" w:rsidP="008032E9">
      <w:pPr>
        <w:pStyle w:val="PSC-Bullets1"/>
      </w:pPr>
      <w:r>
        <w:t>p</w:t>
      </w:r>
      <w:r w:rsidR="154B56DC">
        <w:t>reliminary discussions with the Australian Retirement Trust on methods to support and improve the retirement income gap for women.</w:t>
      </w:r>
    </w:p>
    <w:p w14:paraId="1E1937CA" w14:textId="23854AA6" w:rsidR="00A43613" w:rsidRDefault="00A43613" w:rsidP="00A9740A">
      <w:pPr>
        <w:pStyle w:val="PSCHeading1"/>
      </w:pPr>
      <w:bookmarkStart w:id="102" w:name="_Toc79493353"/>
      <w:bookmarkStart w:id="103" w:name="_Toc529968140"/>
      <w:bookmarkStart w:id="104" w:name="_Toc141342844"/>
      <w:bookmarkStart w:id="105" w:name="_Toc141781789"/>
      <w:bookmarkStart w:id="106" w:name="_Toc141781951"/>
      <w:r>
        <w:br w:type="page"/>
      </w:r>
    </w:p>
    <w:p w14:paraId="6DF01FF3" w14:textId="6A06B34B" w:rsidR="00E50CE2" w:rsidRPr="00A96D24" w:rsidRDefault="00E50CE2" w:rsidP="00A96D24">
      <w:pPr>
        <w:pStyle w:val="PSCHeading1"/>
      </w:pPr>
      <w:bookmarkStart w:id="107" w:name="_Toc145926899"/>
      <w:r w:rsidRPr="00A96D24">
        <w:lastRenderedPageBreak/>
        <w:t>Financial summary</w:t>
      </w:r>
      <w:bookmarkEnd w:id="102"/>
      <w:bookmarkEnd w:id="103"/>
      <w:bookmarkEnd w:id="104"/>
      <w:bookmarkEnd w:id="105"/>
      <w:bookmarkEnd w:id="106"/>
      <w:bookmarkEnd w:id="107"/>
    </w:p>
    <w:p w14:paraId="671044D5" w14:textId="2BC84DFA" w:rsidR="0048419D" w:rsidRDefault="0048419D" w:rsidP="0048419D">
      <w:pPr>
        <w:pStyle w:val="PSC-Body"/>
      </w:pPr>
      <w:r w:rsidRPr="008A2EAE">
        <w:t>During the 20</w:t>
      </w:r>
      <w:r>
        <w:t>22</w:t>
      </w:r>
      <w:r w:rsidR="00F0715E">
        <w:t>–</w:t>
      </w:r>
      <w:r>
        <w:t>23</w:t>
      </w:r>
      <w:r w:rsidRPr="008A2EAE">
        <w:t xml:space="preserve"> financial year, the</w:t>
      </w:r>
      <w:r>
        <w:t xml:space="preserve"> Commission has</w:t>
      </w:r>
      <w:r w:rsidRPr="00CF387E">
        <w:t xml:space="preserve"> continued with its core service delivery to</w:t>
      </w:r>
      <w:r>
        <w:t>:</w:t>
      </w:r>
    </w:p>
    <w:p w14:paraId="762D7DEF" w14:textId="77777777" w:rsidR="0048419D" w:rsidRDefault="0048419D" w:rsidP="0024241D">
      <w:pPr>
        <w:pStyle w:val="PSC-Bullets1"/>
      </w:pPr>
      <w:r>
        <w:t xml:space="preserve">support public sector agencies to effectively manage their </w:t>
      </w:r>
      <w:proofErr w:type="gramStart"/>
      <w:r>
        <w:t>workforces</w:t>
      </w:r>
      <w:proofErr w:type="gramEnd"/>
    </w:p>
    <w:p w14:paraId="4A4542DE" w14:textId="77777777" w:rsidR="0048419D" w:rsidRDefault="0048419D" w:rsidP="0024241D">
      <w:pPr>
        <w:pStyle w:val="PSC-Bullets1"/>
      </w:pPr>
      <w:r>
        <w:t xml:space="preserve">build a highly capable and responsive public sector </w:t>
      </w:r>
      <w:proofErr w:type="gramStart"/>
      <w:r>
        <w:t>workforce</w:t>
      </w:r>
      <w:proofErr w:type="gramEnd"/>
    </w:p>
    <w:p w14:paraId="5E232107" w14:textId="77777777" w:rsidR="0048419D" w:rsidRPr="00DD173E" w:rsidRDefault="0048419D" w:rsidP="0024241D">
      <w:pPr>
        <w:pStyle w:val="PSC-Bullets1"/>
      </w:pPr>
      <w:r>
        <w:t>support the public sector to prepare for and respond to strategic workforce challenges.</w:t>
      </w:r>
    </w:p>
    <w:p w14:paraId="04B6F658" w14:textId="77777777" w:rsidR="0048419D" w:rsidRDefault="0048419D" w:rsidP="0048419D">
      <w:pPr>
        <w:pStyle w:val="PSC-Body"/>
      </w:pPr>
      <w:r>
        <w:t xml:space="preserve">The Commission continues to deliver high quality strategies, programs and advice on public sector workforce matters to support Queensland Government agencies to deliver on their strategic vision, </w:t>
      </w:r>
      <w:proofErr w:type="gramStart"/>
      <w:r>
        <w:t>purpose</w:t>
      </w:r>
      <w:proofErr w:type="gramEnd"/>
      <w:r>
        <w:t xml:space="preserve"> and objectives.  The Commission will also continue to support the work program of the Office of the Special Commissioner (Equity and Diversity) to support improved equity and diversity planning and reporting, and address gender-based disparities in the public sector.</w:t>
      </w:r>
    </w:p>
    <w:p w14:paraId="7A15378D" w14:textId="77777777" w:rsidR="0048419D" w:rsidRDefault="0048419D" w:rsidP="0024241D">
      <w:pPr>
        <w:pStyle w:val="PSCHeading2"/>
      </w:pPr>
      <w:bookmarkStart w:id="108" w:name="_Toc145926900"/>
      <w:r>
        <w:t>Revenue</w:t>
      </w:r>
      <w:bookmarkEnd w:id="108"/>
    </w:p>
    <w:p w14:paraId="1B011529" w14:textId="23C78AFB" w:rsidR="0048419D" w:rsidRPr="009A7E87" w:rsidRDefault="0048419D" w:rsidP="009A7E87">
      <w:pPr>
        <w:pStyle w:val="PSC-Body"/>
      </w:pPr>
      <w:r w:rsidRPr="009A7E87">
        <w:t>Total revenue for the Commission was $16.25 million in 2022</w:t>
      </w:r>
      <w:r w:rsidR="00F0715E">
        <w:t>–</w:t>
      </w:r>
      <w:r w:rsidRPr="009A7E87">
        <w:t xml:space="preserve">23, an increase of $1.07 million from the previous financial year. This increase was primarily due to the additional funding received for the integrity reforms and </w:t>
      </w:r>
      <w:r w:rsidR="00CE49E6" w:rsidRPr="009A7E87">
        <w:t xml:space="preserve">lapsed </w:t>
      </w:r>
      <w:r w:rsidRPr="009A7E87">
        <w:t xml:space="preserve">appropriation </w:t>
      </w:r>
      <w:r w:rsidR="00CE49E6" w:rsidRPr="009A7E87">
        <w:t>from</w:t>
      </w:r>
      <w:r w:rsidRPr="009A7E87">
        <w:t xml:space="preserve"> the previous financial year.</w:t>
      </w:r>
    </w:p>
    <w:p w14:paraId="13957FF8" w14:textId="239774D1" w:rsidR="0048419D" w:rsidRPr="009A7E87" w:rsidRDefault="0048419D" w:rsidP="009A7E87">
      <w:pPr>
        <w:pStyle w:val="PSC-Body"/>
      </w:pPr>
      <w:r w:rsidRPr="009A7E87">
        <w:t>Non-appropriated revenue, consisting of user charges, grants and contributions</w:t>
      </w:r>
      <w:r w:rsidR="00E02275" w:rsidRPr="009A7E87">
        <w:t>,</w:t>
      </w:r>
      <w:r w:rsidRPr="009A7E87">
        <w:t xml:space="preserve"> and other revenue decreased by $0.06 million compared to 2021</w:t>
      </w:r>
      <w:r w:rsidR="009A5924">
        <w:t>–</w:t>
      </w:r>
      <w:r w:rsidRPr="009A7E87">
        <w:t>22 due to a decrease in cost recovery revenue services provided to other departments, such as recruitment and investigations. Additionally, the revenue collected for the contract management fees during the year was lower compared to 2021</w:t>
      </w:r>
      <w:r w:rsidR="00F0715E">
        <w:t>–</w:t>
      </w:r>
      <w:r w:rsidRPr="009A7E87">
        <w:t xml:space="preserve">22. </w:t>
      </w:r>
    </w:p>
    <w:p w14:paraId="32EEAB2F" w14:textId="0DCC9080" w:rsidR="007A1458" w:rsidRPr="009A7E87" w:rsidRDefault="0048419D" w:rsidP="009A7E87">
      <w:pPr>
        <w:pStyle w:val="PSC-Body"/>
      </w:pPr>
      <w:r w:rsidRPr="009A7E87">
        <w:t>Figure 1 provides a comparison of revenue sources for the previous and current financial year</w:t>
      </w:r>
      <w:r w:rsidR="00477989" w:rsidRPr="009A7E87">
        <w:t>s</w:t>
      </w:r>
      <w:r w:rsidRPr="009A7E87">
        <w:t xml:space="preserve"> as provided in the Commission’s accompanying Financial Statements.</w:t>
      </w:r>
    </w:p>
    <w:p w14:paraId="11A59E83" w14:textId="77777777" w:rsidR="00501985" w:rsidRDefault="00BA35C2" w:rsidP="00CD0637">
      <w:pPr>
        <w:rPr>
          <w:rFonts w:eastAsiaTheme="majorEastAsia" w:cstheme="majorBidi"/>
          <w:b/>
          <w:sz w:val="36"/>
          <w:szCs w:val="40"/>
        </w:rPr>
      </w:pPr>
      <w:r>
        <w:rPr>
          <w:noProof/>
        </w:rPr>
        <w:drawing>
          <wp:inline distT="0" distB="0" distL="0" distR="0" wp14:anchorId="2AAC0C0F" wp14:editId="3CFA8ED3">
            <wp:extent cx="6076950" cy="3784600"/>
            <wp:effectExtent l="0" t="0" r="0" b="6350"/>
            <wp:docPr id="1807768008" name="Chart 1" descr="Figure 1: Comparison of revenue sources for the previous and current financial years as provided in the Commission’s accompanying Financial Statements.">
              <a:extLst xmlns:a="http://schemas.openxmlformats.org/drawingml/2006/main">
                <a:ext uri="{FF2B5EF4-FFF2-40B4-BE49-F238E27FC236}">
                  <a16:creationId xmlns:a16="http://schemas.microsoft.com/office/drawing/2014/main" id="{B19BDBE2-789E-4972-8EF6-2B8FCBE1B8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129DC6A" w14:textId="77777777" w:rsidR="008969AC" w:rsidRDefault="008969AC" w:rsidP="008969AC">
      <w:pPr>
        <w:pStyle w:val="PSC-Body"/>
      </w:pPr>
    </w:p>
    <w:p w14:paraId="31C268AC" w14:textId="77777777" w:rsidR="008969AC" w:rsidRDefault="008969AC" w:rsidP="008969AC">
      <w:pPr>
        <w:pStyle w:val="PSC-Body"/>
      </w:pPr>
    </w:p>
    <w:p w14:paraId="63FF6D50" w14:textId="77777777" w:rsidR="008969AC" w:rsidRDefault="008969AC" w:rsidP="008969AC">
      <w:pPr>
        <w:pStyle w:val="PSC-Body"/>
      </w:pPr>
    </w:p>
    <w:p w14:paraId="121AA7C0" w14:textId="77777777" w:rsidR="008969AC" w:rsidRDefault="008969AC" w:rsidP="008969AC">
      <w:pPr>
        <w:pStyle w:val="PSC-Body"/>
      </w:pPr>
    </w:p>
    <w:p w14:paraId="1EF86F5F" w14:textId="77777777" w:rsidR="008969AC" w:rsidRDefault="008969AC" w:rsidP="008969AC">
      <w:pPr>
        <w:pStyle w:val="PSC-Body"/>
      </w:pPr>
    </w:p>
    <w:p w14:paraId="39ED88B4" w14:textId="1A5099D2" w:rsidR="007A1458" w:rsidRPr="00951DBC" w:rsidRDefault="007A1458" w:rsidP="007A1458">
      <w:pPr>
        <w:pStyle w:val="PSCHeading2"/>
      </w:pPr>
      <w:bookmarkStart w:id="109" w:name="_Toc145926901"/>
      <w:r>
        <w:lastRenderedPageBreak/>
        <w:t>Expenditure</w:t>
      </w:r>
      <w:bookmarkEnd w:id="109"/>
      <w:r>
        <w:t xml:space="preserve"> </w:t>
      </w:r>
    </w:p>
    <w:p w14:paraId="68A24711" w14:textId="5377254C" w:rsidR="007A1458" w:rsidRDefault="007A1458" w:rsidP="007A1458">
      <w:pPr>
        <w:pStyle w:val="PSC-Body"/>
      </w:pPr>
      <w:r>
        <w:t>Total expenditure for the Commission was $16.25 million in 2022</w:t>
      </w:r>
      <w:r w:rsidR="009A5924">
        <w:t>–</w:t>
      </w:r>
      <w:r>
        <w:t xml:space="preserve">23, an increase from the previous financial year of $1.07 million. </w:t>
      </w:r>
    </w:p>
    <w:p w14:paraId="348D43AC" w14:textId="25C3245B" w:rsidR="007A1458" w:rsidRDefault="007A1458" w:rsidP="007A1458">
      <w:pPr>
        <w:pStyle w:val="PSC-Body"/>
      </w:pPr>
      <w:r>
        <w:t xml:space="preserve">Employee </w:t>
      </w:r>
      <w:r w:rsidR="00166549">
        <w:t xml:space="preserve">Expenses </w:t>
      </w:r>
      <w:r>
        <w:t xml:space="preserve">increased by $0.84 million from the previous financial year primarily due to </w:t>
      </w:r>
      <w:r w:rsidR="001429B4">
        <w:t>an</w:t>
      </w:r>
      <w:r>
        <w:t xml:space="preserve"> increase in full-time equivalent employees during 2022</w:t>
      </w:r>
      <w:r w:rsidR="009A5924">
        <w:t>–</w:t>
      </w:r>
      <w:r>
        <w:t xml:space="preserve">23 to support </w:t>
      </w:r>
      <w:r w:rsidRPr="00274DBA">
        <w:t xml:space="preserve">integrity reforms </w:t>
      </w:r>
      <w:r>
        <w:t xml:space="preserve">and enterprise bargaining </w:t>
      </w:r>
      <w:r w:rsidR="00421EDE">
        <w:t>agreement</w:t>
      </w:r>
      <w:r>
        <w:t>.</w:t>
      </w:r>
    </w:p>
    <w:p w14:paraId="2A69F7ED" w14:textId="678505C2" w:rsidR="007A1458" w:rsidRDefault="007A1458" w:rsidP="007A1458">
      <w:pPr>
        <w:pStyle w:val="PSC-Body"/>
      </w:pPr>
      <w:r>
        <w:t xml:space="preserve">Supplies and Services expenditure increased minimally by $0.22 million from </w:t>
      </w:r>
      <w:r w:rsidR="00585244">
        <w:t>the previous financial year</w:t>
      </w:r>
      <w:r>
        <w:t xml:space="preserve"> primarily due to </w:t>
      </w:r>
      <w:r w:rsidRPr="00274DBA">
        <w:t xml:space="preserve">additional spending on contractors </w:t>
      </w:r>
      <w:r>
        <w:t>supporting the review of workforce profile data and senior officers renumeration</w:t>
      </w:r>
      <w:r w:rsidR="00477989">
        <w:t>, offset</w:t>
      </w:r>
      <w:r>
        <w:t xml:space="preserve"> by lower property rental and legal costs.</w:t>
      </w:r>
    </w:p>
    <w:p w14:paraId="3E58FBCA" w14:textId="5A24E355" w:rsidR="007A1458" w:rsidRDefault="007A1458" w:rsidP="007A1458">
      <w:pPr>
        <w:pStyle w:val="PSC-Body"/>
      </w:pPr>
      <w:r>
        <w:t xml:space="preserve">Other expenses remained consistent with the previous </w:t>
      </w:r>
      <w:r w:rsidR="00B01863">
        <w:t xml:space="preserve">financial </w:t>
      </w:r>
      <w:r>
        <w:t>year.</w:t>
      </w:r>
    </w:p>
    <w:p w14:paraId="76C0532A" w14:textId="03BECC86" w:rsidR="007A1458" w:rsidRDefault="007A1458" w:rsidP="007A1458">
      <w:pPr>
        <w:pStyle w:val="PSC-Body"/>
      </w:pPr>
      <w:r>
        <w:t>Figure 2 provides a comparison of the Commission’s expenditure for the previous and current financial year</w:t>
      </w:r>
      <w:r w:rsidR="00B01863">
        <w:t>s</w:t>
      </w:r>
      <w:r>
        <w:t xml:space="preserve"> as provided in the Commission’s accompanying Financial Statements.</w:t>
      </w:r>
    </w:p>
    <w:p w14:paraId="04711C4B" w14:textId="77777777" w:rsidR="008969AC" w:rsidRDefault="008969AC" w:rsidP="007A1458">
      <w:pPr>
        <w:pStyle w:val="PSC-Body"/>
      </w:pPr>
    </w:p>
    <w:p w14:paraId="1FD3116C" w14:textId="77777777" w:rsidR="00FF387D" w:rsidRDefault="00A66949" w:rsidP="00BE27C5">
      <w:pPr>
        <w:pStyle w:val="PSC-Body"/>
      </w:pPr>
      <w:r w:rsidRPr="00F06A88">
        <w:rPr>
          <w:noProof/>
        </w:rPr>
        <w:drawing>
          <wp:inline distT="0" distB="0" distL="0" distR="0" wp14:anchorId="5752AB5C" wp14:editId="22DF546C">
            <wp:extent cx="6013450" cy="3213100"/>
            <wp:effectExtent l="0" t="0" r="6350" b="6350"/>
            <wp:docPr id="584205439" name="Chart 1" descr="Figure 2: Comparison of the Commission’s expenditure for the previous and current financial years as provided in the Commission’s accompanying Financial Statements.">
              <a:extLst xmlns:a="http://schemas.openxmlformats.org/drawingml/2006/main">
                <a:ext uri="{FF2B5EF4-FFF2-40B4-BE49-F238E27FC236}">
                  <a16:creationId xmlns:a16="http://schemas.microsoft.com/office/drawing/2014/main" id="{F1E055D2-F30E-4FF6-AAD1-CCCC3FBF1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501254" w14:textId="74834A6D" w:rsidR="00FF387D" w:rsidRDefault="00FF387D" w:rsidP="00BE27C5">
      <w:pPr>
        <w:pStyle w:val="PSC-Body"/>
        <w:rPr>
          <w:rFonts w:cs="Arial"/>
          <w:sz w:val="18"/>
          <w:szCs w:val="18"/>
        </w:rPr>
      </w:pPr>
      <w:r w:rsidRPr="00D067DE">
        <w:t>Explanations for major variances between the Commission’s financial performance and its 2022</w:t>
      </w:r>
      <w:r w:rsidR="009A5924">
        <w:t>–</w:t>
      </w:r>
      <w:r w:rsidRPr="00D067DE">
        <w:t>23 budget are disclosed in the accompanying Financial Statements</w:t>
      </w:r>
      <w:r>
        <w:rPr>
          <w:rFonts w:cs="Arial"/>
          <w:sz w:val="18"/>
          <w:szCs w:val="18"/>
        </w:rPr>
        <w:t xml:space="preserve">. </w:t>
      </w:r>
    </w:p>
    <w:p w14:paraId="0D82773D" w14:textId="77777777" w:rsidR="000B2FDB" w:rsidRPr="00A4605D" w:rsidRDefault="000B2FDB" w:rsidP="001A1B56">
      <w:pPr>
        <w:pStyle w:val="PSCHeading2"/>
        <w:rPr>
          <w:lang w:val="en-US"/>
        </w:rPr>
      </w:pPr>
      <w:bookmarkStart w:id="110" w:name="_Toc145926902"/>
      <w:r w:rsidRPr="00A4605D">
        <w:rPr>
          <w:lang w:val="en-US"/>
        </w:rPr>
        <w:t>Financial position</w:t>
      </w:r>
      <w:bookmarkEnd w:id="110"/>
      <w:r w:rsidRPr="00A4605D">
        <w:rPr>
          <w:lang w:val="en-US"/>
        </w:rPr>
        <w:t xml:space="preserve"> </w:t>
      </w:r>
    </w:p>
    <w:p w14:paraId="61251D46" w14:textId="7FA83AE8" w:rsidR="000B2FDB" w:rsidRDefault="000B2FDB" w:rsidP="001A1B56">
      <w:pPr>
        <w:pStyle w:val="PSC-Body"/>
        <w:rPr>
          <w:rFonts w:ascii="Times New Roman" w:eastAsia="Times New Roman" w:hAnsi="Times New Roman" w:cs="Times New Roman"/>
          <w:sz w:val="24"/>
          <w:szCs w:val="24"/>
          <w:lang w:eastAsia="en-AU"/>
        </w:rPr>
      </w:pPr>
      <w:r>
        <w:rPr>
          <w:lang w:val="en-US"/>
        </w:rPr>
        <w:t>The Commission’s</w:t>
      </w:r>
      <w:r w:rsidRPr="00A4605D">
        <w:rPr>
          <w:lang w:val="en-US"/>
        </w:rPr>
        <w:t xml:space="preserve"> </w:t>
      </w:r>
      <w:r>
        <w:rPr>
          <w:lang w:val="en-US"/>
        </w:rPr>
        <w:t>net asset</w:t>
      </w:r>
      <w:r w:rsidRPr="00A4605D">
        <w:rPr>
          <w:lang w:val="en-US"/>
        </w:rPr>
        <w:t xml:space="preserve"> position </w:t>
      </w:r>
      <w:r>
        <w:rPr>
          <w:lang w:val="en-US"/>
        </w:rPr>
        <w:t>increased by $0.34 million from the previous financial year. This is primarily due to increased cash and intangible assets, offset by an increase in payables. The Commission’s assets are primarily represented by cash, receivables and prepaid assets and are offset by amounts owed for payables and employee benefits. Figure 3 demonstrates an improved liquidity position for the Commission.</w:t>
      </w:r>
      <w:r w:rsidRPr="00A4605D">
        <w:rPr>
          <w:lang w:val="en-US"/>
        </w:rPr>
        <w:t xml:space="preserve"> </w:t>
      </w:r>
    </w:p>
    <w:p w14:paraId="67E0F685" w14:textId="77777777" w:rsidR="000B2FDB" w:rsidRDefault="000B2FDB" w:rsidP="000B2FDB">
      <w:pPr>
        <w:spacing w:after="0" w:line="240" w:lineRule="auto"/>
        <w:rPr>
          <w:rFonts w:ascii="Times New Roman" w:eastAsia="Times New Roman" w:hAnsi="Times New Roman" w:cs="Times New Roman"/>
          <w:sz w:val="24"/>
          <w:szCs w:val="24"/>
          <w:lang w:eastAsia="en-AU"/>
        </w:rPr>
      </w:pPr>
    </w:p>
    <w:p w14:paraId="3C5E4254" w14:textId="77777777" w:rsidR="000B2FDB" w:rsidRPr="00874C3B" w:rsidRDefault="000B2FDB" w:rsidP="00F06A88">
      <w:pPr>
        <w:pStyle w:val="Bodystrong"/>
        <w:rPr>
          <w:rFonts w:ascii="Times New Roman" w:eastAsia="Times New Roman" w:hAnsi="Times New Roman" w:cs="Times New Roman"/>
          <w:sz w:val="24"/>
          <w:szCs w:val="24"/>
          <w:lang w:eastAsia="en-AU"/>
        </w:rPr>
      </w:pPr>
      <w:r w:rsidRPr="00F06A88">
        <w:rPr>
          <w:noProof/>
        </w:rPr>
        <w:lastRenderedPageBreak/>
        <w:drawing>
          <wp:inline distT="0" distB="0" distL="0" distR="0" wp14:anchorId="09477C3B" wp14:editId="68D3C602">
            <wp:extent cx="6043930" cy="4123690"/>
            <wp:effectExtent l="0" t="0" r="13970" b="10160"/>
            <wp:docPr id="1459847626" name="Chart 1" descr="Figure 3: Demonstrates an improved liquidity position for the Commission. ">
              <a:extLst xmlns:a="http://schemas.openxmlformats.org/drawingml/2006/main">
                <a:ext uri="{FF2B5EF4-FFF2-40B4-BE49-F238E27FC236}">
                  <a16:creationId xmlns:a16="http://schemas.microsoft.com/office/drawing/2014/main" id="{6EE26DAF-5947-4D8D-99CB-DF9F748E5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2F912B" w14:textId="69FE151F" w:rsidR="000B2FDB" w:rsidRPr="002F4830" w:rsidRDefault="000B2FDB" w:rsidP="001A1B56">
      <w:pPr>
        <w:pStyle w:val="PSC-Body"/>
      </w:pPr>
      <w:r>
        <w:t>Explanations for major variances between the Commission’s financial position and its 2022</w:t>
      </w:r>
      <w:r w:rsidR="009A5924">
        <w:t>–</w:t>
      </w:r>
      <w:r>
        <w:t xml:space="preserve">23 budget are disclosed in the accompanying Financial Statements. </w:t>
      </w:r>
    </w:p>
    <w:p w14:paraId="3CE1069F" w14:textId="77777777" w:rsidR="000B2FDB" w:rsidRPr="002A2988" w:rsidRDefault="000B2FDB" w:rsidP="001A1B56">
      <w:pPr>
        <w:pStyle w:val="PSCHeading2"/>
        <w:rPr>
          <w:lang w:val="en-US"/>
        </w:rPr>
      </w:pPr>
      <w:bookmarkStart w:id="111" w:name="_Toc145926903"/>
      <w:r w:rsidRPr="002A2988">
        <w:rPr>
          <w:lang w:val="en-US"/>
        </w:rPr>
        <w:t xml:space="preserve">Chief Finance Officer </w:t>
      </w:r>
      <w:r>
        <w:rPr>
          <w:lang w:val="en-US"/>
        </w:rPr>
        <w:t>Assurance</w:t>
      </w:r>
      <w:bookmarkEnd w:id="111"/>
      <w:r w:rsidRPr="002A2988">
        <w:rPr>
          <w:lang w:val="en-US"/>
        </w:rPr>
        <w:t xml:space="preserve"> </w:t>
      </w:r>
    </w:p>
    <w:p w14:paraId="1FC7E019" w14:textId="179A06A4" w:rsidR="000B2FDB" w:rsidRPr="007F6BC1" w:rsidRDefault="000B2FDB" w:rsidP="001A1B56">
      <w:pPr>
        <w:pStyle w:val="PSC-Body"/>
        <w:rPr>
          <w:lang w:val="en-US"/>
        </w:rPr>
      </w:pPr>
      <w:r w:rsidRPr="007F6BC1">
        <w:rPr>
          <w:lang w:val="en-US"/>
        </w:rPr>
        <w:t xml:space="preserve">In accordance with the requirements of the </w:t>
      </w:r>
      <w:r w:rsidRPr="00676BE5">
        <w:rPr>
          <w:i/>
          <w:lang w:val="en-US"/>
        </w:rPr>
        <w:t>Financial Accountability Act</w:t>
      </w:r>
      <w:r w:rsidRPr="007F6BC1">
        <w:rPr>
          <w:lang w:val="en-US"/>
        </w:rPr>
        <w:t xml:space="preserve"> </w:t>
      </w:r>
      <w:r w:rsidRPr="00676BE5">
        <w:rPr>
          <w:i/>
          <w:lang w:val="en-US"/>
        </w:rPr>
        <w:t>2009</w:t>
      </w:r>
      <w:r w:rsidRPr="007F6BC1">
        <w:rPr>
          <w:lang w:val="en-US"/>
        </w:rPr>
        <w:t xml:space="preserve">, the Chief Finance Officer has provided the </w:t>
      </w:r>
      <w:r>
        <w:rPr>
          <w:lang w:val="en-US"/>
        </w:rPr>
        <w:t>Commissioner</w:t>
      </w:r>
      <w:r w:rsidRPr="007F6BC1">
        <w:rPr>
          <w:lang w:val="en-US"/>
        </w:rPr>
        <w:t xml:space="preserve"> with a statement confirming, as required by section 54 of the Financial and Performance Management Standard 2019, </w:t>
      </w:r>
      <w:r w:rsidR="000C024A">
        <w:rPr>
          <w:lang w:val="en-US"/>
        </w:rPr>
        <w:t xml:space="preserve">that </w:t>
      </w:r>
      <w:r w:rsidRPr="007F6BC1">
        <w:rPr>
          <w:lang w:val="en-US"/>
        </w:rPr>
        <w:t>the financial internal controls of the department are operating efficiently, effectively, and economically.</w:t>
      </w:r>
    </w:p>
    <w:p w14:paraId="51ECECDB" w14:textId="38C6FD70" w:rsidR="000B2FDB" w:rsidRDefault="000B2FDB" w:rsidP="001A1B56">
      <w:pPr>
        <w:pStyle w:val="PSC-Body"/>
        <w:rPr>
          <w:lang w:val="en-US"/>
        </w:rPr>
      </w:pPr>
      <w:r w:rsidRPr="007F6BC1">
        <w:rPr>
          <w:lang w:val="en-US"/>
        </w:rPr>
        <w:t xml:space="preserve">The statement indicated no deficiencies or breakdowns in internal controls that would impact adversely on the </w:t>
      </w:r>
      <w:r w:rsidR="009413F4">
        <w:rPr>
          <w:lang w:val="en-US"/>
        </w:rPr>
        <w:t>Commission</w:t>
      </w:r>
      <w:r w:rsidR="009413F4" w:rsidRPr="007F6BC1">
        <w:rPr>
          <w:lang w:val="en-US"/>
        </w:rPr>
        <w:t xml:space="preserve">’s </w:t>
      </w:r>
      <w:r w:rsidRPr="007F6BC1">
        <w:rPr>
          <w:lang w:val="en-US"/>
        </w:rPr>
        <w:t xml:space="preserve">financial governance or financial statements for the year.  </w:t>
      </w:r>
    </w:p>
    <w:p w14:paraId="507709A6" w14:textId="77777777" w:rsidR="000B2FDB" w:rsidRPr="002F4830" w:rsidRDefault="000B2FDB" w:rsidP="00FF387D">
      <w:pPr>
        <w:rPr>
          <w:rFonts w:cs="Arial"/>
          <w:sz w:val="18"/>
          <w:szCs w:val="18"/>
        </w:rPr>
      </w:pPr>
    </w:p>
    <w:p w14:paraId="6B9734CE" w14:textId="4C597B11" w:rsidR="00A43613" w:rsidRDefault="00A43613" w:rsidP="007A1458">
      <w:pPr>
        <w:pStyle w:val="PSC-Body"/>
        <w:rPr>
          <w:rFonts w:eastAsiaTheme="majorEastAsia" w:cstheme="majorBidi"/>
          <w:b/>
          <w:sz w:val="36"/>
          <w:szCs w:val="40"/>
        </w:rPr>
      </w:pPr>
      <w:r>
        <w:rPr>
          <w:rFonts w:eastAsiaTheme="majorEastAsia" w:cstheme="majorBidi"/>
          <w:b/>
          <w:sz w:val="36"/>
          <w:szCs w:val="40"/>
        </w:rPr>
        <w:br w:type="page"/>
      </w:r>
    </w:p>
    <w:p w14:paraId="1F9EE98F" w14:textId="3448DFA7" w:rsidR="00042389" w:rsidRPr="00A96D24" w:rsidRDefault="00042389" w:rsidP="00A96D24">
      <w:pPr>
        <w:pStyle w:val="PSCHeading1"/>
      </w:pPr>
      <w:bookmarkStart w:id="112" w:name="_Toc79493354"/>
      <w:bookmarkStart w:id="113" w:name="_Toc539287302"/>
      <w:bookmarkStart w:id="114" w:name="_Toc141342845"/>
      <w:bookmarkStart w:id="115" w:name="_Toc141781790"/>
      <w:bookmarkStart w:id="116" w:name="_Toc141781952"/>
      <w:bookmarkStart w:id="117" w:name="_Toc145926904"/>
      <w:r w:rsidRPr="00A96D24">
        <w:lastRenderedPageBreak/>
        <w:t>Performance</w:t>
      </w:r>
      <w:bookmarkEnd w:id="112"/>
      <w:bookmarkEnd w:id="113"/>
      <w:bookmarkEnd w:id="114"/>
      <w:bookmarkEnd w:id="115"/>
      <w:bookmarkEnd w:id="116"/>
      <w:bookmarkEnd w:id="117"/>
    </w:p>
    <w:p w14:paraId="49F639D6" w14:textId="3019EA64" w:rsidR="00042389" w:rsidRPr="00A96D24" w:rsidRDefault="00602479" w:rsidP="00A96D24">
      <w:pPr>
        <w:pStyle w:val="PSCHeading2"/>
      </w:pPr>
      <w:bookmarkStart w:id="118" w:name="_Toc74055893"/>
      <w:bookmarkStart w:id="119" w:name="_Toc76549847"/>
      <w:bookmarkStart w:id="120" w:name="_Toc79493355"/>
      <w:bookmarkStart w:id="121" w:name="_Toc141781791"/>
      <w:bookmarkStart w:id="122" w:name="_Toc141781953"/>
      <w:bookmarkStart w:id="123" w:name="_Toc145926905"/>
      <w:r w:rsidRPr="00A96D24">
        <w:t>Government’s objectives for the community</w:t>
      </w:r>
      <w:bookmarkEnd w:id="118"/>
      <w:bookmarkEnd w:id="119"/>
      <w:bookmarkEnd w:id="120"/>
      <w:bookmarkEnd w:id="121"/>
      <w:bookmarkEnd w:id="122"/>
      <w:bookmarkEnd w:id="123"/>
    </w:p>
    <w:p w14:paraId="0615A215" w14:textId="5337A228" w:rsidR="00042389" w:rsidRPr="001D543D" w:rsidRDefault="00D938EF" w:rsidP="009A7E87">
      <w:pPr>
        <w:pStyle w:val="PSC-Body"/>
      </w:pPr>
      <w:r w:rsidRPr="001D543D">
        <w:t xml:space="preserve">The </w:t>
      </w:r>
      <w:r w:rsidR="00F049D6" w:rsidRPr="001D543D">
        <w:t xml:space="preserve">Commission </w:t>
      </w:r>
      <w:r w:rsidRPr="001D543D">
        <w:t xml:space="preserve">contributed to the </w:t>
      </w:r>
      <w:hyperlink r:id="rId30" w:history="1">
        <w:r w:rsidRPr="001D543D">
          <w:rPr>
            <w:rStyle w:val="Hyperlink"/>
            <w:b w:val="0"/>
            <w:bCs/>
          </w:rPr>
          <w:t>Queensland Government’s</w:t>
        </w:r>
        <w:r w:rsidRPr="001D543D">
          <w:rPr>
            <w:rStyle w:val="Hyperlink"/>
            <w:b w:val="0"/>
            <w:bCs/>
            <w:spacing w:val="-18"/>
          </w:rPr>
          <w:t xml:space="preserve"> </w:t>
        </w:r>
        <w:r w:rsidRPr="001D543D">
          <w:rPr>
            <w:rStyle w:val="Hyperlink"/>
            <w:b w:val="0"/>
            <w:bCs/>
          </w:rPr>
          <w:t>objectives</w:t>
        </w:r>
        <w:r w:rsidRPr="001D543D">
          <w:rPr>
            <w:rStyle w:val="Hyperlink"/>
            <w:b w:val="0"/>
            <w:bCs/>
            <w:spacing w:val="-18"/>
          </w:rPr>
          <w:t xml:space="preserve"> </w:t>
        </w:r>
        <w:r w:rsidRPr="001D543D">
          <w:rPr>
            <w:rStyle w:val="Hyperlink"/>
            <w:b w:val="0"/>
            <w:bCs/>
          </w:rPr>
          <w:t>for</w:t>
        </w:r>
        <w:r w:rsidRPr="001D543D">
          <w:rPr>
            <w:rStyle w:val="Hyperlink"/>
            <w:b w:val="0"/>
            <w:bCs/>
            <w:spacing w:val="-18"/>
          </w:rPr>
          <w:t xml:space="preserve"> </w:t>
        </w:r>
        <w:r w:rsidRPr="001D543D">
          <w:rPr>
            <w:rStyle w:val="Hyperlink"/>
            <w:b w:val="0"/>
            <w:bCs/>
          </w:rPr>
          <w:t>the</w:t>
        </w:r>
        <w:r w:rsidRPr="001D543D">
          <w:rPr>
            <w:rStyle w:val="Hyperlink"/>
            <w:b w:val="0"/>
            <w:bCs/>
            <w:spacing w:val="-17"/>
          </w:rPr>
          <w:t xml:space="preserve"> </w:t>
        </w:r>
        <w:r w:rsidRPr="001D543D">
          <w:rPr>
            <w:rStyle w:val="Hyperlink"/>
            <w:b w:val="0"/>
            <w:bCs/>
          </w:rPr>
          <w:t>community</w:t>
        </w:r>
      </w:hyperlink>
      <w:r w:rsidR="00A52376" w:rsidRPr="0011372B">
        <w:rPr>
          <w:rStyle w:val="FootnoteReference"/>
          <w:bCs/>
        </w:rPr>
        <w:footnoteReference w:id="9"/>
      </w:r>
      <w:r w:rsidRPr="001D543D">
        <w:t>, by</w:t>
      </w:r>
      <w:r w:rsidR="00E10B2B" w:rsidRPr="001D543D">
        <w:t>:</w:t>
      </w:r>
    </w:p>
    <w:p w14:paraId="4A826D85" w14:textId="0584CD4E" w:rsidR="00A20802" w:rsidRPr="001D543D" w:rsidRDefault="008F0AA6" w:rsidP="009761C8">
      <w:pPr>
        <w:pStyle w:val="PSC-Bullets1"/>
      </w:pPr>
      <w:r w:rsidRPr="001D543D">
        <w:t>p</w:t>
      </w:r>
      <w:r w:rsidR="009517BA" w:rsidRPr="001D543D">
        <w:t>reparing agencies for the future of work through workforce strategy and capability building initiatives</w:t>
      </w:r>
    </w:p>
    <w:p w14:paraId="6A9BDC06" w14:textId="68ECB7B9" w:rsidR="009517BA" w:rsidRPr="001D543D" w:rsidRDefault="008F0AA6" w:rsidP="009761C8">
      <w:pPr>
        <w:pStyle w:val="PSC-Bullets1"/>
      </w:pPr>
      <w:r w:rsidRPr="001D543D">
        <w:t>b</w:t>
      </w:r>
      <w:r w:rsidR="009517BA" w:rsidRPr="001D543D">
        <w:t>uilding an inclusive and diverse Queens</w:t>
      </w:r>
      <w:r w:rsidR="00F8792D" w:rsidRPr="001D543D">
        <w:t>land public sector workforce</w:t>
      </w:r>
    </w:p>
    <w:p w14:paraId="256395A0" w14:textId="5AF4AC15" w:rsidR="00F8792D" w:rsidRPr="001D543D" w:rsidRDefault="00081A0C" w:rsidP="009761C8">
      <w:pPr>
        <w:pStyle w:val="PSC-Bullets1"/>
      </w:pPr>
      <w:r w:rsidRPr="001D543D">
        <w:t xml:space="preserve">strengthening </w:t>
      </w:r>
      <w:r w:rsidR="00F8792D" w:rsidRPr="001D543D">
        <w:t xml:space="preserve">the sector’s capability in fostering safe, </w:t>
      </w:r>
      <w:proofErr w:type="gramStart"/>
      <w:r w:rsidR="00F8792D" w:rsidRPr="001D543D">
        <w:t>respectful</w:t>
      </w:r>
      <w:proofErr w:type="gramEnd"/>
      <w:r w:rsidR="00F8792D" w:rsidRPr="001D543D">
        <w:t xml:space="preserve"> and inclusive workplace cultures</w:t>
      </w:r>
    </w:p>
    <w:p w14:paraId="2EE4D92F" w14:textId="777A849B" w:rsidR="00F8792D" w:rsidRPr="001D543D" w:rsidRDefault="008F0AA6" w:rsidP="009761C8">
      <w:pPr>
        <w:pStyle w:val="PSC-Bullets1"/>
      </w:pPr>
      <w:r w:rsidRPr="001D543D">
        <w:t>p</w:t>
      </w:r>
      <w:r w:rsidR="00F8792D" w:rsidRPr="001D543D">
        <w:t xml:space="preserve">romoting strategies and practices </w:t>
      </w:r>
      <w:r w:rsidR="00F02FE5" w:rsidRPr="001D543D">
        <w:t>to create</w:t>
      </w:r>
      <w:r w:rsidR="00B96036" w:rsidRPr="001D543D">
        <w:t xml:space="preserve"> </w:t>
      </w:r>
      <w:r w:rsidR="00F8792D" w:rsidRPr="001D543D">
        <w:t xml:space="preserve">mentally healthy </w:t>
      </w:r>
      <w:proofErr w:type="gramStart"/>
      <w:r w:rsidR="00F8792D" w:rsidRPr="001D543D">
        <w:t>workplaces</w:t>
      </w:r>
      <w:proofErr w:type="gramEnd"/>
    </w:p>
    <w:p w14:paraId="10E7194B" w14:textId="323E2C7D" w:rsidR="00F8792D" w:rsidRPr="001D543D" w:rsidRDefault="00820D9A" w:rsidP="009761C8">
      <w:pPr>
        <w:pStyle w:val="PSC-Bullets1"/>
      </w:pPr>
      <w:r w:rsidRPr="001D543D">
        <w:t>co</w:t>
      </w:r>
      <w:r w:rsidR="00D86121" w:rsidRPr="001D543D">
        <w:t>ntinuing to build</w:t>
      </w:r>
      <w:r w:rsidRPr="001D543D">
        <w:t xml:space="preserve"> </w:t>
      </w:r>
      <w:r w:rsidR="00F8792D" w:rsidRPr="001D543D">
        <w:t>the secto</w:t>
      </w:r>
      <w:r w:rsidR="008F0AA6" w:rsidRPr="001D543D">
        <w:t>r’s capability in the prevention and response to domestic and family violence (DFV)</w:t>
      </w:r>
      <w:r w:rsidR="00B702F8" w:rsidRPr="001D543D">
        <w:t>.</w:t>
      </w:r>
    </w:p>
    <w:p w14:paraId="794440FA" w14:textId="5623F4FC" w:rsidR="00042389" w:rsidRPr="00A96D24" w:rsidRDefault="00042389" w:rsidP="00A96D24">
      <w:pPr>
        <w:pStyle w:val="PSCHeading2"/>
      </w:pPr>
      <w:bookmarkStart w:id="124" w:name="_Toc74055894"/>
      <w:bookmarkStart w:id="125" w:name="_Toc76549848"/>
      <w:bookmarkStart w:id="126" w:name="_Toc79493356"/>
      <w:bookmarkStart w:id="127" w:name="_Toc141781792"/>
      <w:bookmarkStart w:id="128" w:name="_Toc141781954"/>
      <w:bookmarkStart w:id="129" w:name="_Toc145926906"/>
      <w:r w:rsidRPr="00A96D24">
        <w:t>Strategic objectives</w:t>
      </w:r>
      <w:bookmarkEnd w:id="124"/>
      <w:bookmarkEnd w:id="125"/>
      <w:bookmarkEnd w:id="126"/>
      <w:bookmarkEnd w:id="127"/>
      <w:bookmarkEnd w:id="128"/>
      <w:bookmarkEnd w:id="129"/>
    </w:p>
    <w:p w14:paraId="4A7DBE4A" w14:textId="65EAC19E" w:rsidR="00042389" w:rsidRPr="003979CD" w:rsidRDefault="00042389" w:rsidP="009A7E87">
      <w:pPr>
        <w:pStyle w:val="PSC-Body"/>
        <w:rPr>
          <w:bCs/>
        </w:rPr>
      </w:pPr>
      <w:r w:rsidRPr="008D754E">
        <w:t xml:space="preserve">This section reports on </w:t>
      </w:r>
      <w:r w:rsidR="00D938EF" w:rsidRPr="008D754E">
        <w:t xml:space="preserve">the </w:t>
      </w:r>
      <w:r w:rsidR="00F049D6">
        <w:t>Commission’s</w:t>
      </w:r>
      <w:r w:rsidR="00D938EF" w:rsidRPr="008D754E">
        <w:t xml:space="preserve"> performance in relation to our </w:t>
      </w:r>
      <w:hyperlink r:id="rId31" w:history="1">
        <w:r w:rsidR="00D938EF" w:rsidRPr="00006BA1">
          <w:rPr>
            <w:rStyle w:val="Hyperlink"/>
            <w:b w:val="0"/>
          </w:rPr>
          <w:t>strategic plan 202</w:t>
        </w:r>
        <w:r w:rsidR="003979CD" w:rsidRPr="00006BA1">
          <w:rPr>
            <w:rStyle w:val="Hyperlink"/>
            <w:b w:val="0"/>
          </w:rPr>
          <w:t>2</w:t>
        </w:r>
        <w:r w:rsidR="00D938EF" w:rsidRPr="00006BA1">
          <w:rPr>
            <w:rStyle w:val="Hyperlink"/>
            <w:b w:val="0"/>
          </w:rPr>
          <w:t>–202</w:t>
        </w:r>
        <w:r w:rsidR="003979CD" w:rsidRPr="0013342F">
          <w:rPr>
            <w:rStyle w:val="Hyperlink"/>
            <w:b w:val="0"/>
          </w:rPr>
          <w:t>6</w:t>
        </w:r>
        <w:r w:rsidR="00A52376" w:rsidRPr="00006BA1">
          <w:rPr>
            <w:rStyle w:val="Hyperlink"/>
            <w:b w:val="0"/>
            <w:u w:val="none"/>
            <w:vertAlign w:val="superscript"/>
          </w:rPr>
          <w:footnoteReference w:id="10"/>
        </w:r>
      </w:hyperlink>
      <w:r w:rsidR="00D938EF" w:rsidRPr="003979CD">
        <w:rPr>
          <w:bCs/>
        </w:rPr>
        <w:t>.</w:t>
      </w:r>
    </w:p>
    <w:p w14:paraId="0A54C8B1" w14:textId="169194FE" w:rsidR="00495F50" w:rsidRPr="001162BC" w:rsidRDefault="00495F50" w:rsidP="007C5D4E">
      <w:pPr>
        <w:pStyle w:val="PSCBodystrong"/>
      </w:pPr>
      <w:bookmarkStart w:id="130" w:name="_Toc74055895"/>
      <w:bookmarkStart w:id="131" w:name="_Toc76549849"/>
      <w:bookmarkStart w:id="132" w:name="_Toc79493357"/>
      <w:bookmarkStart w:id="133" w:name="_Toc141781793"/>
      <w:bookmarkStart w:id="134" w:name="_Toc141781955"/>
      <w:bookmarkStart w:id="135" w:name="_Toc144285964"/>
      <w:r w:rsidRPr="001162BC">
        <w:t xml:space="preserve">Strategic objective 1: Support public sector agencies to effectively manage their </w:t>
      </w:r>
      <w:proofErr w:type="gramStart"/>
      <w:r w:rsidRPr="001162BC">
        <w:t>workforces</w:t>
      </w:r>
      <w:bookmarkEnd w:id="130"/>
      <w:bookmarkEnd w:id="131"/>
      <w:bookmarkEnd w:id="132"/>
      <w:bookmarkEnd w:id="133"/>
      <w:bookmarkEnd w:id="134"/>
      <w:bookmarkEnd w:id="135"/>
      <w:proofErr w:type="gramEnd"/>
    </w:p>
    <w:p w14:paraId="148C85F6" w14:textId="6B74B923" w:rsidR="00170F6A" w:rsidRPr="00B2213E" w:rsidRDefault="00495F50" w:rsidP="00E45A53">
      <w:pPr>
        <w:pStyle w:val="Letterslist"/>
      </w:pPr>
      <w:r w:rsidRPr="00D2716C">
        <w:t xml:space="preserve">Drive improvements to the employment framework by providing expert advice to promote performance, </w:t>
      </w:r>
      <w:proofErr w:type="gramStart"/>
      <w:r w:rsidRPr="00D2716C">
        <w:t>fairness</w:t>
      </w:r>
      <w:proofErr w:type="gramEnd"/>
      <w:r w:rsidRPr="00D2716C">
        <w:t xml:space="preserve"> and accountability</w:t>
      </w:r>
      <w:r w:rsidR="001166A4" w:rsidRPr="00D2716C">
        <w:t>:</w:t>
      </w:r>
    </w:p>
    <w:p w14:paraId="35522011" w14:textId="594C6C33" w:rsidR="00F978D4" w:rsidRPr="00BD6CCF" w:rsidRDefault="33882560" w:rsidP="001A2B74">
      <w:pPr>
        <w:pStyle w:val="Dotpoint-Underletter"/>
        <w:rPr>
          <w:rFonts w:eastAsia="MS Mincho"/>
        </w:rPr>
      </w:pPr>
      <w:r w:rsidRPr="00BD6CCF">
        <w:t xml:space="preserve">Prepared and obtained Governor in Council approval of </w:t>
      </w:r>
      <w:r w:rsidR="449BF1E1" w:rsidRPr="00006BA1">
        <w:t>three</w:t>
      </w:r>
      <w:r w:rsidR="449BF1E1" w:rsidRPr="00BD6CCF">
        <w:t xml:space="preserve"> </w:t>
      </w:r>
      <w:r w:rsidRPr="00BD6CCF">
        <w:t xml:space="preserve">public service departmental arrangement notices for machinery-of-government </w:t>
      </w:r>
      <w:r w:rsidR="0604E018" w:rsidRPr="00BD6CCF">
        <w:t>changes.</w:t>
      </w:r>
    </w:p>
    <w:p w14:paraId="4B7DD534" w14:textId="5BDB76AE" w:rsidR="5F37B31D" w:rsidRPr="00006BA1" w:rsidRDefault="5F37B31D" w:rsidP="001A2B74">
      <w:pPr>
        <w:pStyle w:val="Dotpoint-Underletter"/>
      </w:pPr>
      <w:r w:rsidRPr="00006BA1">
        <w:t xml:space="preserve">Continued to play a critical role in ensuring the Queensland public sector is contemporary, fit-for-purpose and future-focused by delivering a once-in-a-generation reform with the commencement of the </w:t>
      </w:r>
      <w:r w:rsidR="00DC1FE6" w:rsidRPr="00006BA1">
        <w:t>Act</w:t>
      </w:r>
      <w:r w:rsidR="001200FE" w:rsidRPr="00006BA1">
        <w:t>.</w:t>
      </w:r>
    </w:p>
    <w:p w14:paraId="7BA3D16A" w14:textId="34A88737" w:rsidR="5F37B31D" w:rsidRPr="00006BA1" w:rsidRDefault="5F37B31D" w:rsidP="001A2B74">
      <w:pPr>
        <w:pStyle w:val="Dotpoint-Underletter"/>
        <w:rPr>
          <w:rFonts w:eastAsia="MS Mincho"/>
        </w:rPr>
      </w:pPr>
      <w:r>
        <w:t xml:space="preserve">Drafted, </w:t>
      </w:r>
      <w:proofErr w:type="gramStart"/>
      <w:r>
        <w:t>consulted</w:t>
      </w:r>
      <w:proofErr w:type="gramEnd"/>
      <w:r>
        <w:t xml:space="preserve"> and released seven</w:t>
      </w:r>
      <w:r w:rsidR="0008521D">
        <w:t xml:space="preserve"> new</w:t>
      </w:r>
      <w:r>
        <w:t xml:space="preserve"> high priority directives </w:t>
      </w:r>
      <w:r w:rsidR="4328ED7E">
        <w:t>made under the Act and supported</w:t>
      </w:r>
      <w:r w:rsidR="009E0978">
        <w:t xml:space="preserve"> </w:t>
      </w:r>
      <w:r w:rsidR="0092799B">
        <w:t>the</w:t>
      </w:r>
      <w:r w:rsidR="55C11C82">
        <w:t>ir</w:t>
      </w:r>
      <w:r w:rsidR="4328ED7E">
        <w:t xml:space="preserve"> implementation to embed them across the sector</w:t>
      </w:r>
      <w:r w:rsidR="001200FE">
        <w:t>.</w:t>
      </w:r>
    </w:p>
    <w:p w14:paraId="31646403" w14:textId="4F36E450" w:rsidR="42FC969E" w:rsidRPr="00BD6CCF" w:rsidRDefault="5F37B31D" w:rsidP="001A2B74">
      <w:pPr>
        <w:pStyle w:val="Dotpoint-Underletter"/>
        <w:rPr>
          <w:rFonts w:eastAsia="Calibri"/>
        </w:rPr>
      </w:pPr>
      <w:r>
        <w:t xml:space="preserve">Developed a framework for the oversight of senior public service employee </w:t>
      </w:r>
      <w:r w:rsidR="650A48F6">
        <w:t xml:space="preserve">(SES 3 and above) </w:t>
      </w:r>
      <w:r>
        <w:t>complaints devolved by the Crime and Corruption Commission</w:t>
      </w:r>
      <w:r w:rsidR="0092799B">
        <w:t xml:space="preserve"> </w:t>
      </w:r>
      <w:r>
        <w:t>in response to</w:t>
      </w:r>
      <w:r w:rsidR="7E5BD03C">
        <w:t xml:space="preserve"> Professor </w:t>
      </w:r>
      <w:proofErr w:type="spellStart"/>
      <w:r w:rsidR="7E5BD03C">
        <w:t>Coaldrake’s</w:t>
      </w:r>
      <w:proofErr w:type="spellEnd"/>
      <w:r w:rsidR="7E5BD03C">
        <w:t xml:space="preserve"> 2022 </w:t>
      </w:r>
      <w:r w:rsidR="00AC1017">
        <w:t>Review of culture and accountability in the Queensland public sec</w:t>
      </w:r>
      <w:r w:rsidR="006F535E">
        <w:t>tor</w:t>
      </w:r>
      <w:r w:rsidR="7E5BD03C">
        <w:t xml:space="preserve">: </w:t>
      </w:r>
      <w:r w:rsidR="7E5BD03C" w:rsidRPr="00E17FD3">
        <w:rPr>
          <w:i/>
          <w:iCs/>
        </w:rPr>
        <w:t>Let the Sunshine in</w:t>
      </w:r>
      <w:r>
        <w:t>.</w:t>
      </w:r>
    </w:p>
    <w:p w14:paraId="6367D2DC" w14:textId="77777777" w:rsidR="002F4E05" w:rsidRPr="00BD6CCF" w:rsidRDefault="00495F50" w:rsidP="00E45A53">
      <w:pPr>
        <w:pStyle w:val="Letterslist"/>
      </w:pPr>
      <w:r w:rsidRPr="00BD6CCF">
        <w:t>Provide trusted advice to help leaders plan and manage workforce change</w:t>
      </w:r>
      <w:r w:rsidR="001166A4" w:rsidRPr="00BD6CCF">
        <w:t>:</w:t>
      </w:r>
    </w:p>
    <w:p w14:paraId="5FDAA52D" w14:textId="16FB3930" w:rsidR="00F978D4" w:rsidRPr="00BD6CCF" w:rsidRDefault="2E857C15" w:rsidP="001A2B74">
      <w:pPr>
        <w:pStyle w:val="Dotpoint-Underletter"/>
        <w:spacing w:after="0"/>
        <w:rPr>
          <w:rFonts w:eastAsia="MS Mincho"/>
          <w:szCs w:val="20"/>
        </w:rPr>
      </w:pPr>
      <w:r w:rsidRPr="00BD6CCF">
        <w:t>Supported the Chief Executive Service through:</w:t>
      </w:r>
    </w:p>
    <w:p w14:paraId="0C890148" w14:textId="4BA2BD2B" w:rsidR="00F978D4" w:rsidRPr="001A2B74" w:rsidRDefault="2E857C15" w:rsidP="001A2B74">
      <w:pPr>
        <w:pStyle w:val="PSC-Bullets2"/>
      </w:pPr>
      <w:r w:rsidRPr="001A2B74">
        <w:t>the recruitment and selection process for three chief executive appointments</w:t>
      </w:r>
    </w:p>
    <w:p w14:paraId="118E666B" w14:textId="0074286E" w:rsidR="00F978D4" w:rsidRPr="001A2B74" w:rsidRDefault="2E857C15" w:rsidP="001A2B74">
      <w:pPr>
        <w:pStyle w:val="PSC-Bullets2"/>
      </w:pPr>
      <w:r w:rsidRPr="001A2B74">
        <w:t>the transfer of one existing chief executive</w:t>
      </w:r>
    </w:p>
    <w:p w14:paraId="47C8F37A" w14:textId="145FA7DA" w:rsidR="0B71529B" w:rsidRPr="001A2B74" w:rsidRDefault="00BD6CCF" w:rsidP="001A2B74">
      <w:pPr>
        <w:pStyle w:val="PSC-Bullets2"/>
      </w:pPr>
      <w:r w:rsidRPr="001A2B74">
        <w:t>t</w:t>
      </w:r>
      <w:r w:rsidR="0B71529B" w:rsidRPr="001A2B74">
        <w:t>he movement of five chief executives following machinery of government changes</w:t>
      </w:r>
    </w:p>
    <w:p w14:paraId="1658FA6E" w14:textId="0C06F24F" w:rsidR="00F978D4" w:rsidRPr="001A2B74" w:rsidRDefault="2E857C15" w:rsidP="001A2B74">
      <w:pPr>
        <w:pStyle w:val="PSC-Bullets2"/>
      </w:pPr>
      <w:r w:rsidRPr="001A2B74">
        <w:t xml:space="preserve">the reappointment and extension of contracts of </w:t>
      </w:r>
      <w:r w:rsidR="3F01F458" w:rsidRPr="001A2B74">
        <w:t xml:space="preserve">four </w:t>
      </w:r>
      <w:r w:rsidRPr="001A2B74">
        <w:t>directors’-general</w:t>
      </w:r>
    </w:p>
    <w:p w14:paraId="2B992467" w14:textId="08711BD6" w:rsidR="00F978D4" w:rsidRPr="001A2B74" w:rsidRDefault="2E857C15" w:rsidP="001A2B74">
      <w:pPr>
        <w:pStyle w:val="PSC-Bullets2"/>
      </w:pPr>
      <w:r w:rsidRPr="001A2B74">
        <w:t xml:space="preserve">the resignation or retirement of </w:t>
      </w:r>
      <w:r w:rsidR="2E1EED57" w:rsidRPr="001A2B74">
        <w:t xml:space="preserve">three </w:t>
      </w:r>
      <w:r w:rsidR="000F54EC" w:rsidRPr="001A2B74">
        <w:t>d</w:t>
      </w:r>
      <w:r w:rsidRPr="001A2B74">
        <w:t>irectors-</w:t>
      </w:r>
      <w:r w:rsidR="000F54EC" w:rsidRPr="001A2B74">
        <w:t>g</w:t>
      </w:r>
      <w:r w:rsidRPr="001A2B74">
        <w:t>eneral.</w:t>
      </w:r>
    </w:p>
    <w:p w14:paraId="04BFF3C9" w14:textId="2C6DD2A5" w:rsidR="652571A6" w:rsidRPr="00DC45B6" w:rsidRDefault="00C66537" w:rsidP="001A2B74">
      <w:pPr>
        <w:pStyle w:val="Dotpoint-Underletter"/>
      </w:pPr>
      <w:r w:rsidRPr="00DC45B6">
        <w:t>Streamlining the</w:t>
      </w:r>
      <w:r w:rsidR="652571A6" w:rsidRPr="00DC45B6">
        <w:t xml:space="preserve"> processes to support efficient sector recruitment while maintaining the Government’s commitment to employment security</w:t>
      </w:r>
      <w:r w:rsidR="00D45FEB" w:rsidRPr="00DC45B6">
        <w:t>.</w:t>
      </w:r>
    </w:p>
    <w:p w14:paraId="00A95CE3" w14:textId="0F5DBC57" w:rsidR="001C7495" w:rsidRPr="00F978D4" w:rsidRDefault="00495F50" w:rsidP="00E45A53">
      <w:pPr>
        <w:pStyle w:val="Letterslist"/>
      </w:pPr>
      <w:r w:rsidRPr="00F978D4">
        <w:t>Deliver practical support to practitioners to effectively manage workforce conduct and performance</w:t>
      </w:r>
      <w:r w:rsidR="0097620A" w:rsidRPr="00F978D4">
        <w:t>:</w:t>
      </w:r>
    </w:p>
    <w:p w14:paraId="62AA3518" w14:textId="2E75B794" w:rsidR="5FA67BC7" w:rsidRPr="00DC45B6" w:rsidRDefault="5FA67BC7" w:rsidP="001A2B74">
      <w:pPr>
        <w:pStyle w:val="Dotpoint-Underletter"/>
      </w:pPr>
      <w:r w:rsidRPr="00DC45B6">
        <w:t xml:space="preserve">Hosted </w:t>
      </w:r>
      <w:r w:rsidR="00330D74" w:rsidRPr="00DC45B6">
        <w:t xml:space="preserve">a </w:t>
      </w:r>
      <w:r w:rsidRPr="00DC45B6">
        <w:t>community of practice for ethical behaviour</w:t>
      </w:r>
      <w:r w:rsidR="00594B85" w:rsidRPr="00DC45B6">
        <w:t xml:space="preserve"> </w:t>
      </w:r>
      <w:r w:rsidR="00594B85" w:rsidRPr="00DC45B6">
        <w:softHyphen/>
      </w:r>
      <w:r w:rsidR="008D2249" w:rsidRPr="00DC45B6">
        <w:softHyphen/>
      </w:r>
      <w:r w:rsidR="008D2249" w:rsidRPr="00DC45B6">
        <w:rPr>
          <w:vertAlign w:val="subscript"/>
        </w:rPr>
        <w:softHyphen/>
      </w:r>
      <w:r w:rsidRPr="00DC45B6">
        <w:t>promoting best practice approaches and supporting members to solve issues, develop capability and model behaviour</w:t>
      </w:r>
      <w:r w:rsidR="00D0601C" w:rsidRPr="00DC45B6">
        <w:t xml:space="preserve"> together. </w:t>
      </w:r>
    </w:p>
    <w:p w14:paraId="308536B5" w14:textId="3FD3C5F8" w:rsidR="5FA67BC7" w:rsidRPr="00DC45B6" w:rsidRDefault="5FA67BC7" w:rsidP="001A2B74">
      <w:pPr>
        <w:pStyle w:val="Dotpoint-Underletter"/>
        <w:rPr>
          <w:rFonts w:eastAsia="MS Mincho"/>
          <w:szCs w:val="20"/>
        </w:rPr>
      </w:pPr>
      <w:r w:rsidRPr="00DC45B6">
        <w:t xml:space="preserve">Provided targeted advice to the sector on complex performance and conduct matters. </w:t>
      </w:r>
    </w:p>
    <w:p w14:paraId="080FF305" w14:textId="13649545" w:rsidR="5FA67BC7" w:rsidRPr="00DC45B6" w:rsidRDefault="5FA67BC7" w:rsidP="001A2B74">
      <w:pPr>
        <w:pStyle w:val="Dotpoint-Underletter"/>
        <w:rPr>
          <w:rFonts w:eastAsia="MS Mincho"/>
          <w:szCs w:val="20"/>
        </w:rPr>
      </w:pPr>
      <w:r w:rsidRPr="00DC45B6">
        <w:t>Conducted reviews into sensitive work performance matters to assist agencies in appropriate resolutions.</w:t>
      </w:r>
    </w:p>
    <w:p w14:paraId="26FB7202" w14:textId="753FE242" w:rsidR="007E30D8" w:rsidRPr="00DC45B6" w:rsidRDefault="5FA67BC7" w:rsidP="001A2B74">
      <w:pPr>
        <w:pStyle w:val="Dotpoint-Underletter"/>
        <w:rPr>
          <w:rFonts w:eastAsia="MS Mincho"/>
          <w:szCs w:val="20"/>
        </w:rPr>
      </w:pPr>
      <w:r w:rsidRPr="00DC45B6">
        <w:t>Delivered workshops to agencies on assessing and planning for effective resolution of workplace conduct and performance matters.</w:t>
      </w:r>
    </w:p>
    <w:p w14:paraId="513CA986" w14:textId="3E9A92DD" w:rsidR="00BE4BFD" w:rsidRPr="00BE4BFD" w:rsidRDefault="00495F50" w:rsidP="00E45A53">
      <w:pPr>
        <w:pStyle w:val="Letterslist"/>
      </w:pPr>
      <w:r w:rsidRPr="00D2716C">
        <w:t xml:space="preserve">Promote evidence-based decision-making through accurate and timely workforce data collection, </w:t>
      </w:r>
      <w:proofErr w:type="gramStart"/>
      <w:r w:rsidRPr="00D2716C">
        <w:t>information</w:t>
      </w:r>
      <w:proofErr w:type="gramEnd"/>
      <w:r w:rsidRPr="00D2716C">
        <w:t xml:space="preserve"> and reporting</w:t>
      </w:r>
      <w:r w:rsidR="0097620A" w:rsidRPr="00D2716C">
        <w:t>:</w:t>
      </w:r>
    </w:p>
    <w:p w14:paraId="5BD078C3" w14:textId="2496F432" w:rsidR="00753AF1" w:rsidRPr="0062098D" w:rsidRDefault="008F5724" w:rsidP="001A2B74">
      <w:pPr>
        <w:pStyle w:val="Dotpoint-Underletter"/>
      </w:pPr>
      <w:bookmarkStart w:id="136" w:name="_Toc74055896"/>
      <w:bookmarkStart w:id="137" w:name="_Toc76549850"/>
      <w:bookmarkStart w:id="138" w:name="_Toc79493358"/>
      <w:bookmarkStart w:id="139" w:name="_Hlk75869599"/>
      <w:r>
        <w:t>P</w:t>
      </w:r>
      <w:r w:rsidR="00BA1FBD">
        <w:t>ublished the September 2022 and March 2023 editions of the Queensland public sector workforce profile reports</w:t>
      </w:r>
      <w:r w:rsidR="00934B97">
        <w:t>.</w:t>
      </w:r>
    </w:p>
    <w:p w14:paraId="67AE6A0A" w14:textId="00B07B05" w:rsidR="00BA1FBD" w:rsidRPr="00101014" w:rsidRDefault="00934B97" w:rsidP="001A2B74">
      <w:pPr>
        <w:pStyle w:val="Dotpoint-Underletter"/>
      </w:pPr>
      <w:r>
        <w:t>R</w:t>
      </w:r>
      <w:r w:rsidR="00BA1FBD">
        <w:t xml:space="preserve">efreshed and strengthened </w:t>
      </w:r>
      <w:r w:rsidR="00BA1FBD" w:rsidRPr="00101014">
        <w:t xml:space="preserve">the Working for Queensland survey instrument to ensure it </w:t>
      </w:r>
      <w:r w:rsidR="006B4118" w:rsidRPr="00101014">
        <w:t>reflects</w:t>
      </w:r>
      <w:r w:rsidR="00BA1FBD" w:rsidRPr="00101014">
        <w:t xml:space="preserve"> public sector priorities and </w:t>
      </w:r>
      <w:r w:rsidR="006B4118" w:rsidRPr="00101014">
        <w:t>provides actionable insights</w:t>
      </w:r>
      <w:r w:rsidRPr="00101014">
        <w:t>.</w:t>
      </w:r>
    </w:p>
    <w:p w14:paraId="3DE5B8EA" w14:textId="4211374B" w:rsidR="006B4118" w:rsidRPr="00101014" w:rsidRDefault="00934B97" w:rsidP="001A2B74">
      <w:pPr>
        <w:pStyle w:val="Dotpoint-Underletter"/>
      </w:pPr>
      <w:r w:rsidRPr="00101014">
        <w:lastRenderedPageBreak/>
        <w:t>D</w:t>
      </w:r>
      <w:r w:rsidR="006B4118" w:rsidRPr="00101014">
        <w:t>elivered the 2022 annual Working for Queensland survey across 68 entiti</w:t>
      </w:r>
      <w:r w:rsidR="0001560D" w:rsidRPr="00101014">
        <w:t>es with more than 85,800</w:t>
      </w:r>
      <w:r w:rsidR="00143904">
        <w:t xml:space="preserve"> employees</w:t>
      </w:r>
      <w:r w:rsidRPr="00101014">
        <w:t>.</w:t>
      </w:r>
    </w:p>
    <w:p w14:paraId="05B59C37" w14:textId="7B680EB4" w:rsidR="44F0BC1A" w:rsidRPr="00E42010" w:rsidRDefault="29E533EA" w:rsidP="001A2B74">
      <w:pPr>
        <w:pStyle w:val="Dotpoint-Underletter"/>
      </w:pPr>
      <w:r>
        <w:t>Monitored policy implementation and informed decision-making by c</w:t>
      </w:r>
      <w:r w:rsidR="44F0BC1A">
        <w:t>ollect</w:t>
      </w:r>
      <w:r w:rsidR="3457FF38">
        <w:t>ing</w:t>
      </w:r>
      <w:r w:rsidR="44F0BC1A">
        <w:t xml:space="preserve"> quarterly data about the conversion </w:t>
      </w:r>
      <w:r w:rsidR="23A42355">
        <w:t xml:space="preserve">to permanent employment </w:t>
      </w:r>
      <w:r w:rsidR="44F0BC1A">
        <w:t>of</w:t>
      </w:r>
      <w:r w:rsidR="00ED6D90">
        <w:t xml:space="preserve"> </w:t>
      </w:r>
      <w:r w:rsidR="44F0BC1A">
        <w:t xml:space="preserve">casual and temporary employees and employees </w:t>
      </w:r>
      <w:r w:rsidR="003C3207">
        <w:t>who act</w:t>
      </w:r>
      <w:r w:rsidR="44F0BC1A">
        <w:t xml:space="preserve"> at</w:t>
      </w:r>
      <w:r w:rsidR="3CBEF908">
        <w:t>,</w:t>
      </w:r>
      <w:r w:rsidR="44F0BC1A">
        <w:t xml:space="preserve"> or</w:t>
      </w:r>
      <w:r w:rsidR="00A71C64">
        <w:t xml:space="preserve"> </w:t>
      </w:r>
      <w:r w:rsidR="458CDEF6">
        <w:t xml:space="preserve">who </w:t>
      </w:r>
      <w:r w:rsidR="00A71C64">
        <w:t>are</w:t>
      </w:r>
      <w:r w:rsidR="44F0BC1A">
        <w:t xml:space="preserve"> seconded to</w:t>
      </w:r>
      <w:r w:rsidR="0492E56C">
        <w:t>,</w:t>
      </w:r>
      <w:r w:rsidR="44F0BC1A">
        <w:t xml:space="preserve"> higher classification</w:t>
      </w:r>
      <w:r w:rsidR="60237562">
        <w:t>s</w:t>
      </w:r>
      <w:r w:rsidR="0D583578">
        <w:t>.</w:t>
      </w:r>
    </w:p>
    <w:p w14:paraId="15791E7A" w14:textId="61CB038D" w:rsidR="42FC969E" w:rsidRPr="00F9180F" w:rsidRDefault="44F0BC1A" w:rsidP="001A2B74">
      <w:pPr>
        <w:pStyle w:val="Dotpoint-Underletter"/>
        <w:rPr>
          <w:rFonts w:eastAsia="Calibri"/>
        </w:rPr>
      </w:pPr>
      <w:r>
        <w:t xml:space="preserve">Collected annual entity data about the implementation of </w:t>
      </w:r>
      <w:r w:rsidR="0077792C" w:rsidRPr="00536ACB">
        <w:rPr>
          <w:iCs/>
        </w:rPr>
        <w:t>Supporting employees affected by workplace change</w:t>
      </w:r>
      <w:r w:rsidR="0077792C" w:rsidRPr="00D132B2">
        <w:t xml:space="preserve"> </w:t>
      </w:r>
      <w:r w:rsidR="0077792C">
        <w:t>(Directive 01/22)</w:t>
      </w:r>
      <w:r w:rsidR="00A703DF">
        <w:t xml:space="preserve"> and</w:t>
      </w:r>
      <w:r>
        <w:t xml:space="preserve"> monitor</w:t>
      </w:r>
      <w:r w:rsidR="00A703DF">
        <w:t>ed</w:t>
      </w:r>
      <w:r>
        <w:t xml:space="preserve"> policy implementation </w:t>
      </w:r>
      <w:r w:rsidR="00A703DF">
        <w:t>to</w:t>
      </w:r>
      <w:r>
        <w:t xml:space="preserve"> inform decision-making</w:t>
      </w:r>
      <w:r w:rsidR="00AE2691">
        <w:t>.</w:t>
      </w:r>
    </w:p>
    <w:p w14:paraId="0B69F323" w14:textId="4936F136" w:rsidR="00495F50" w:rsidRPr="00F9180F" w:rsidRDefault="00217872" w:rsidP="007C5D4E">
      <w:pPr>
        <w:pStyle w:val="PSCBodystrong"/>
      </w:pPr>
      <w:bookmarkStart w:id="140" w:name="_Toc141781794"/>
      <w:bookmarkStart w:id="141" w:name="_Toc141781956"/>
      <w:bookmarkStart w:id="142" w:name="_Toc144285965"/>
      <w:r w:rsidRPr="00F9180F">
        <w:t xml:space="preserve">Strategic objective 2: Build a highly capable and responsive public sector </w:t>
      </w:r>
      <w:proofErr w:type="gramStart"/>
      <w:r w:rsidRPr="00F9180F">
        <w:t>workforce</w:t>
      </w:r>
      <w:bookmarkEnd w:id="136"/>
      <w:bookmarkEnd w:id="137"/>
      <w:bookmarkEnd w:id="138"/>
      <w:bookmarkEnd w:id="140"/>
      <w:bookmarkEnd w:id="141"/>
      <w:bookmarkEnd w:id="142"/>
      <w:proofErr w:type="gramEnd"/>
    </w:p>
    <w:p w14:paraId="747FC375" w14:textId="51F1AAAD" w:rsidR="00495F50" w:rsidRPr="00F9180F" w:rsidRDefault="00217872" w:rsidP="00E45A53">
      <w:pPr>
        <w:pStyle w:val="Letterslist"/>
        <w:numPr>
          <w:ilvl w:val="0"/>
          <w:numId w:val="23"/>
        </w:numPr>
      </w:pPr>
      <w:r w:rsidRPr="1C1C52B1">
        <w:t xml:space="preserve">Build agencies’ </w:t>
      </w:r>
      <w:r w:rsidR="5E8EAC59" w:rsidRPr="1C1C52B1">
        <w:t>human resource (</w:t>
      </w:r>
      <w:r w:rsidR="008A1376" w:rsidRPr="1C1C52B1">
        <w:t>HR</w:t>
      </w:r>
      <w:r w:rsidR="472151E8" w:rsidRPr="1C1C52B1">
        <w:t>)</w:t>
      </w:r>
      <w:r w:rsidRPr="1C1C52B1">
        <w:t xml:space="preserve"> capability to enable responsiveness to strategic workforce challenges</w:t>
      </w:r>
      <w:r w:rsidR="0097620A" w:rsidRPr="1C1C52B1">
        <w:t>:</w:t>
      </w:r>
    </w:p>
    <w:bookmarkEnd w:id="139"/>
    <w:p w14:paraId="59BE7BC4" w14:textId="579990C4" w:rsidR="00E220E5" w:rsidRPr="00F9180F" w:rsidRDefault="00C92210" w:rsidP="001A2B74">
      <w:pPr>
        <w:pStyle w:val="Dotpoint-Underletter"/>
        <w:rPr>
          <w:rFonts w:eastAsia="Arial"/>
        </w:rPr>
      </w:pPr>
      <w:r w:rsidRPr="00F9180F">
        <w:t>C</w:t>
      </w:r>
      <w:r w:rsidR="00F070FC" w:rsidRPr="00F9180F">
        <w:t>ontinued to work with agencies and individual practitioners to improve understanding of the Working for Queensland survey</w:t>
      </w:r>
      <w:r w:rsidR="00985BA4" w:rsidRPr="00F9180F">
        <w:t xml:space="preserve"> data and how it can be used to inform workforce management and organisational development</w:t>
      </w:r>
      <w:r w:rsidRPr="00F9180F">
        <w:t>.</w:t>
      </w:r>
    </w:p>
    <w:p w14:paraId="4A7B7881" w14:textId="395398B4" w:rsidR="00B85D4F" w:rsidRPr="00F9180F" w:rsidRDefault="00C92210" w:rsidP="001A2B74">
      <w:pPr>
        <w:pStyle w:val="Dotpoint-Underletter"/>
        <w:spacing w:before="240" w:after="0"/>
      </w:pPr>
      <w:r w:rsidRPr="00F9180F">
        <w:t>W</w:t>
      </w:r>
      <w:r w:rsidR="00E220E5" w:rsidRPr="00F9180F">
        <w:t>orked with agencies to solve strategic workforce challenges, including</w:t>
      </w:r>
      <w:r w:rsidR="00B85D4F" w:rsidRPr="00F9180F">
        <w:t>:</w:t>
      </w:r>
    </w:p>
    <w:p w14:paraId="4D9EB78D" w14:textId="571601A3" w:rsidR="00B85D4F" w:rsidRPr="00F9180F" w:rsidRDefault="00E220E5" w:rsidP="001A2B74">
      <w:pPr>
        <w:pStyle w:val="PSC-Bullets2"/>
      </w:pPr>
      <w:r w:rsidRPr="00F9180F">
        <w:t xml:space="preserve">attracting </w:t>
      </w:r>
      <w:r w:rsidR="002B2810" w:rsidRPr="00F9180F">
        <w:t>and retaining critical skills</w:t>
      </w:r>
    </w:p>
    <w:p w14:paraId="239DDBA8" w14:textId="0249B8AA" w:rsidR="00B85D4F" w:rsidRPr="00F9180F" w:rsidRDefault="002B2810" w:rsidP="001A2B74">
      <w:pPr>
        <w:pStyle w:val="PSC-Bullets2"/>
      </w:pPr>
      <w:r w:rsidRPr="00F9180F">
        <w:t>optimising internal talent platforms</w:t>
      </w:r>
      <w:r w:rsidR="005B4D8C" w:rsidRPr="00F9180F">
        <w:t xml:space="preserve"> to drive </w:t>
      </w:r>
      <w:proofErr w:type="gramStart"/>
      <w:r w:rsidR="005B4D8C" w:rsidRPr="00F9180F">
        <w:t>mob</w:t>
      </w:r>
      <w:r w:rsidR="00DF6808" w:rsidRPr="00F9180F">
        <w:t>ility</w:t>
      </w:r>
      <w:proofErr w:type="gramEnd"/>
      <w:r w:rsidR="00896B57" w:rsidRPr="00F9180F">
        <w:t xml:space="preserve"> </w:t>
      </w:r>
    </w:p>
    <w:p w14:paraId="31533502" w14:textId="613DFB31" w:rsidR="00F06024" w:rsidRPr="00F9180F" w:rsidRDefault="00896B57" w:rsidP="001A2B74">
      <w:pPr>
        <w:pStyle w:val="PSC-Bullets2"/>
      </w:pPr>
      <w:r w:rsidRPr="00F9180F">
        <w:t>build</w:t>
      </w:r>
      <w:r w:rsidR="00B85D4F" w:rsidRPr="00F9180F">
        <w:t>ing</w:t>
      </w:r>
      <w:r w:rsidRPr="00F9180F">
        <w:t xml:space="preserve"> internal capability</w:t>
      </w:r>
      <w:r w:rsidR="00FD680A" w:rsidRPr="00F9180F">
        <w:t>.</w:t>
      </w:r>
    </w:p>
    <w:p w14:paraId="722E2CC0" w14:textId="21DA71CE" w:rsidR="00B446D9" w:rsidRPr="00E42010" w:rsidRDefault="004C6761" w:rsidP="001A2B74">
      <w:pPr>
        <w:pStyle w:val="Dotpoint-Underletter"/>
        <w:rPr>
          <w:rFonts w:eastAsia="Arial"/>
        </w:rPr>
      </w:pPr>
      <w:r w:rsidRPr="00F9180F">
        <w:t>E</w:t>
      </w:r>
      <w:r w:rsidR="00F06024" w:rsidRPr="00F9180F">
        <w:t>stablished a talent acquisition community of practice</w:t>
      </w:r>
      <w:r w:rsidR="00484796" w:rsidRPr="00F9180F">
        <w:t xml:space="preserve"> to support collective learning through sharing of attraction, </w:t>
      </w:r>
      <w:proofErr w:type="gramStart"/>
      <w:r w:rsidR="00484796" w:rsidRPr="00F9180F">
        <w:t>recruitment</w:t>
      </w:r>
      <w:proofErr w:type="gramEnd"/>
      <w:r w:rsidR="00484796" w:rsidRPr="00F9180F">
        <w:t xml:space="preserve"> and retention ini</w:t>
      </w:r>
      <w:r w:rsidR="000D632B" w:rsidRPr="00F9180F">
        <w:t>tiatives</w:t>
      </w:r>
      <w:r w:rsidRPr="00F9180F">
        <w:t>.</w:t>
      </w:r>
    </w:p>
    <w:p w14:paraId="4D2ECC0E" w14:textId="20A468BA" w:rsidR="00B446D9" w:rsidRPr="00F9180F" w:rsidRDefault="00B446D9" w:rsidP="001A2B74">
      <w:pPr>
        <w:pStyle w:val="Dotpoint-Underletter"/>
      </w:pPr>
      <w:r w:rsidRPr="00F9180F">
        <w:t>Supported the development and implementation of a suite of initiatives to strengthen HR capability across the sector.</w:t>
      </w:r>
    </w:p>
    <w:p w14:paraId="175709E8" w14:textId="1834EE69" w:rsidR="00B446D9" w:rsidRPr="00F9180F" w:rsidRDefault="006553C8" w:rsidP="001A2B74">
      <w:pPr>
        <w:pStyle w:val="Dotpoint-Underletter"/>
      </w:pPr>
      <w:r w:rsidRPr="00F9180F">
        <w:t>Provided s</w:t>
      </w:r>
      <w:r w:rsidR="00B446D9" w:rsidRPr="00F9180F">
        <w:t xml:space="preserve">cholarships for three HR </w:t>
      </w:r>
      <w:r w:rsidR="00686646" w:rsidRPr="00F9180F">
        <w:t>p</w:t>
      </w:r>
      <w:r w:rsidR="00B446D9" w:rsidRPr="00F9180F">
        <w:t xml:space="preserve">ractitioners to undertake </w:t>
      </w:r>
      <w:r w:rsidR="00EA05B7" w:rsidRPr="00F9180F">
        <w:t xml:space="preserve">the Australia and New Zealand School of Government’s (ANZSOG) </w:t>
      </w:r>
      <w:r w:rsidR="00B446D9" w:rsidRPr="00F9180F">
        <w:t xml:space="preserve">Towards Strategic Leadership program. </w:t>
      </w:r>
    </w:p>
    <w:p w14:paraId="0123D470" w14:textId="0A807AA6" w:rsidR="00B446D9" w:rsidRPr="00F9180F" w:rsidRDefault="00427D90" w:rsidP="001A2B74">
      <w:pPr>
        <w:pStyle w:val="Dotpoint-Underletter"/>
      </w:pPr>
      <w:r w:rsidRPr="00F9180F">
        <w:t>Provided s</w:t>
      </w:r>
      <w:r w:rsidR="00B446D9" w:rsidRPr="00F9180F">
        <w:t xml:space="preserve">cholarships for six HR </w:t>
      </w:r>
      <w:r w:rsidRPr="00F9180F">
        <w:t>p</w:t>
      </w:r>
      <w:r w:rsidR="00B446D9" w:rsidRPr="00F9180F">
        <w:t xml:space="preserve">ractitioners to undertake the Public Sector Management Program. </w:t>
      </w:r>
    </w:p>
    <w:p w14:paraId="20187663" w14:textId="76317168" w:rsidR="000F32C2" w:rsidRPr="00E42010" w:rsidRDefault="00B446D9" w:rsidP="001A2B74">
      <w:pPr>
        <w:pStyle w:val="Dotpoint-Underletter"/>
      </w:pPr>
      <w:r w:rsidRPr="1C1C52B1">
        <w:t xml:space="preserve">Developed and promoted a HR capability development series attended by more than 420 practitioners, to assist with the implementation of the psychosocial code of practice. </w:t>
      </w:r>
    </w:p>
    <w:p w14:paraId="3A29F169" w14:textId="3593CCF6" w:rsidR="267C628C" w:rsidRPr="00E42010" w:rsidRDefault="267C628C" w:rsidP="001A2B74">
      <w:pPr>
        <w:pStyle w:val="Dotpoint-Underletter"/>
      </w:pPr>
      <w:r>
        <w:t>Partnered with</w:t>
      </w:r>
      <w:r w:rsidR="0020152E">
        <w:t xml:space="preserve"> the Office of Industrial Relations</w:t>
      </w:r>
      <w:r>
        <w:t xml:space="preserve"> </w:t>
      </w:r>
      <w:r w:rsidR="0020152E">
        <w:t>(</w:t>
      </w:r>
      <w:r>
        <w:t>OIR</w:t>
      </w:r>
      <w:r w:rsidR="0020152E">
        <w:t xml:space="preserve">) </w:t>
      </w:r>
      <w:r>
        <w:t xml:space="preserve">to present at the Industrial Relations, Public Sector Information Sessions, providing updates on </w:t>
      </w:r>
      <w:r w:rsidR="4AEBCA6C">
        <w:t>the s</w:t>
      </w:r>
      <w:r>
        <w:t xml:space="preserve">tage </w:t>
      </w:r>
      <w:r w:rsidR="00646864">
        <w:t>two</w:t>
      </w:r>
      <w:r>
        <w:t xml:space="preserve"> public sector legislative reform progress and </w:t>
      </w:r>
      <w:r w:rsidR="585412CC">
        <w:t>a</w:t>
      </w:r>
      <w:r w:rsidR="00A41EC1">
        <w:t>n</w:t>
      </w:r>
      <w:r w:rsidR="585412CC">
        <w:t xml:space="preserve"> </w:t>
      </w:r>
      <w:r>
        <w:t xml:space="preserve">overview of </w:t>
      </w:r>
      <w:r w:rsidR="00611B99">
        <w:t>the Commission’s</w:t>
      </w:r>
      <w:r>
        <w:t xml:space="preserve"> program of work around directives and consultation processes. </w:t>
      </w:r>
    </w:p>
    <w:p w14:paraId="0E8A3673" w14:textId="11FB7199" w:rsidR="42FC969E" w:rsidRPr="00E42010" w:rsidRDefault="267C628C" w:rsidP="001A2B74">
      <w:pPr>
        <w:pStyle w:val="Dotpoint-Underletter"/>
        <w:rPr>
          <w:rFonts w:eastAsia="Calibri"/>
          <w:szCs w:val="20"/>
        </w:rPr>
      </w:pPr>
      <w:r w:rsidRPr="00E42010">
        <w:t xml:space="preserve">Developed and published seven high priority directives </w:t>
      </w:r>
      <w:r w:rsidR="0070715B" w:rsidRPr="00E42010">
        <w:t>that</w:t>
      </w:r>
      <w:r w:rsidRPr="00E42010">
        <w:t xml:space="preserve"> support public sector entities</w:t>
      </w:r>
      <w:r w:rsidR="0070715B" w:rsidRPr="00E42010">
        <w:t xml:space="preserve"> to</w:t>
      </w:r>
      <w:r w:rsidRPr="00E42010">
        <w:t xml:space="preserve"> implement </w:t>
      </w:r>
      <w:r w:rsidR="00002C26" w:rsidRPr="00E42010">
        <w:t>the Act.</w:t>
      </w:r>
    </w:p>
    <w:p w14:paraId="2C72A5A0" w14:textId="20A468BA" w:rsidR="007A3B10" w:rsidRPr="000F32C2" w:rsidRDefault="00217872" w:rsidP="00E45A53">
      <w:pPr>
        <w:pStyle w:val="Letterslist"/>
      </w:pPr>
      <w:r w:rsidRPr="49BF3F54">
        <w:t>Deliver targeted initiatives to build leadership and management capability</w:t>
      </w:r>
      <w:r w:rsidR="0097620A" w:rsidRPr="49BF3F54">
        <w:t>:</w:t>
      </w:r>
    </w:p>
    <w:p w14:paraId="58CBBE34" w14:textId="1E5940E3" w:rsidR="00F90C85" w:rsidRDefault="00F90C85" w:rsidP="001A2B74">
      <w:pPr>
        <w:pStyle w:val="Dotpoint-Underletter"/>
        <w:spacing w:after="0"/>
      </w:pPr>
      <w:bookmarkStart w:id="143" w:name="_Hlk75862183"/>
      <w:r>
        <w:t>Facilitated and brokered leadership and management capability development offerings for targeted leadership cohorts, including:</w:t>
      </w:r>
    </w:p>
    <w:p w14:paraId="1B4CC3C2" w14:textId="6F0E2395" w:rsidR="00F90C85" w:rsidRDefault="00B80045" w:rsidP="001A2B74">
      <w:pPr>
        <w:pStyle w:val="PSC-Bullets2"/>
      </w:pPr>
      <w:r>
        <w:t>d</w:t>
      </w:r>
      <w:r w:rsidR="003801AB">
        <w:t xml:space="preserve">elivered </w:t>
      </w:r>
      <w:r w:rsidR="00963771">
        <w:t>m</w:t>
      </w:r>
      <w:r w:rsidR="00F90C85">
        <w:t>asterclasses and webinars as part of the 2022</w:t>
      </w:r>
      <w:r w:rsidR="00F45715">
        <w:t>–</w:t>
      </w:r>
      <w:r w:rsidR="00F90C85">
        <w:t xml:space="preserve">2023 Queensland public sector leadership development series, attended by more than 4400 </w:t>
      </w:r>
      <w:proofErr w:type="gramStart"/>
      <w:r w:rsidR="00F90C85">
        <w:t>participants</w:t>
      </w:r>
      <w:proofErr w:type="gramEnd"/>
    </w:p>
    <w:p w14:paraId="6AFEAE69" w14:textId="37513161" w:rsidR="00F90C85" w:rsidRDefault="008E349E" w:rsidP="001A2B74">
      <w:pPr>
        <w:pStyle w:val="PSC-Bullets2"/>
      </w:pPr>
      <w:r>
        <w:t>p</w:t>
      </w:r>
      <w:r w:rsidR="00F90C85">
        <w:t xml:space="preserve">rovided 14 fully funded scholarships to the Public Sector Management Program for HR </w:t>
      </w:r>
      <w:r w:rsidR="006D2BCD">
        <w:t>p</w:t>
      </w:r>
      <w:r w:rsidR="00F90C85">
        <w:t xml:space="preserve">ractitioners and Aboriginal and Torres Strait Islander </w:t>
      </w:r>
      <w:proofErr w:type="gramStart"/>
      <w:r w:rsidR="00F90C85">
        <w:t>employees</w:t>
      </w:r>
      <w:proofErr w:type="gramEnd"/>
    </w:p>
    <w:p w14:paraId="4775D02E" w14:textId="0E57AA8C" w:rsidR="00F90C85" w:rsidRDefault="008E349E" w:rsidP="001A2B74">
      <w:pPr>
        <w:pStyle w:val="PSC-Bullets2"/>
      </w:pPr>
      <w:r>
        <w:t>p</w:t>
      </w:r>
      <w:r w:rsidR="007B5864">
        <w:t>rocured</w:t>
      </w:r>
      <w:r w:rsidR="00F90C85">
        <w:t xml:space="preserve"> </w:t>
      </w:r>
      <w:r w:rsidR="007B5864">
        <w:t xml:space="preserve">a </w:t>
      </w:r>
      <w:r w:rsidR="00F90C85">
        <w:t xml:space="preserve">new provider to </w:t>
      </w:r>
      <w:r w:rsidR="007B5864">
        <w:t>deliver the</w:t>
      </w:r>
      <w:r w:rsidR="00F90C85">
        <w:t xml:space="preserve"> People Matters and Performance Conversations programs, including new additional benefits and opportunities offered </w:t>
      </w:r>
      <w:proofErr w:type="gramStart"/>
      <w:r w:rsidR="00F90C85">
        <w:t>sector-wide</w:t>
      </w:r>
      <w:proofErr w:type="gramEnd"/>
      <w:r w:rsidR="00F90C85">
        <w:t xml:space="preserve">. </w:t>
      </w:r>
    </w:p>
    <w:p w14:paraId="0DC04D0E" w14:textId="07A438AC" w:rsidR="00F90C85" w:rsidRDefault="00F90C85" w:rsidP="001A2B74">
      <w:pPr>
        <w:pStyle w:val="Dotpoint-Underletter"/>
      </w:pPr>
      <w:r>
        <w:t xml:space="preserve">Continued provision of LEAD4QLD (leadership capability assessment and development program) and </w:t>
      </w:r>
      <w:r w:rsidR="004726BD">
        <w:t>C</w:t>
      </w:r>
      <w:r>
        <w:t xml:space="preserve">ompetency </w:t>
      </w:r>
      <w:r w:rsidR="00EC1513">
        <w:t>C</w:t>
      </w:r>
      <w:r>
        <w:t xml:space="preserve">ompass online tool, to strengthen sector-wide leadership capability. </w:t>
      </w:r>
    </w:p>
    <w:p w14:paraId="2558CB7C" w14:textId="099347B3" w:rsidR="00F90C85" w:rsidRDefault="00F90C85" w:rsidP="001A2B74">
      <w:pPr>
        <w:pStyle w:val="Dotpoint-Underletter"/>
      </w:pPr>
      <w:r>
        <w:t>Delivered four HR community of practice meetings —</w:t>
      </w:r>
      <w:r w:rsidR="00FC6849">
        <w:t xml:space="preserve"> </w:t>
      </w:r>
      <w:r>
        <w:t xml:space="preserve">embedding the </w:t>
      </w:r>
      <w:r w:rsidRPr="00D25960">
        <w:t>Leadership competencies for Queensland</w:t>
      </w:r>
      <w:r>
        <w:t xml:space="preserve"> framework in strategic foresight, employee value proposition, organisational </w:t>
      </w:r>
      <w:proofErr w:type="gramStart"/>
      <w:r>
        <w:t>culture</w:t>
      </w:r>
      <w:proofErr w:type="gramEnd"/>
      <w:r>
        <w:t xml:space="preserve"> and talent acquisition. </w:t>
      </w:r>
    </w:p>
    <w:p w14:paraId="0D009FF5" w14:textId="20A468BA" w:rsidR="00643D5F" w:rsidRDefault="00643D5F" w:rsidP="001A2B74">
      <w:pPr>
        <w:pStyle w:val="Dotpoint-Underletter"/>
        <w:spacing w:after="0"/>
      </w:pPr>
      <w:r w:rsidRPr="009D4B51">
        <w:t>Supported the Institute of Public Administration Australia (IPAA) Queensland to deliver their thought-leadership program, including:</w:t>
      </w:r>
    </w:p>
    <w:p w14:paraId="60A87FAD" w14:textId="3791794A" w:rsidR="00643D5F" w:rsidRDefault="004264BA" w:rsidP="001A2B74">
      <w:pPr>
        <w:pStyle w:val="PSC-Bullets2"/>
      </w:pPr>
      <w:r>
        <w:t xml:space="preserve">the </w:t>
      </w:r>
      <w:r w:rsidR="00643D5F" w:rsidRPr="009D4B51">
        <w:t>annual Chief Executives and Emerging Leaders Breakfast attended by around 600</w:t>
      </w:r>
      <w:r>
        <w:t xml:space="preserve"> </w:t>
      </w:r>
      <w:proofErr w:type="gramStart"/>
      <w:r>
        <w:t>people</w:t>
      </w:r>
      <w:proofErr w:type="gramEnd"/>
    </w:p>
    <w:p w14:paraId="14ECDCC7" w14:textId="554175DC" w:rsidR="00643D5F" w:rsidRDefault="00AB6F35" w:rsidP="001A2B74">
      <w:pPr>
        <w:pStyle w:val="PSC-Bullets2"/>
      </w:pPr>
      <w:r>
        <w:t>the</w:t>
      </w:r>
      <w:r w:rsidR="00643D5F" w:rsidRPr="009D4B51">
        <w:t xml:space="preserve"> International Women’s Day Stewards on the Couch in partnership with ANZSOG, attended by around 180</w:t>
      </w:r>
      <w:r>
        <w:t xml:space="preserve"> </w:t>
      </w:r>
      <w:proofErr w:type="gramStart"/>
      <w:r>
        <w:t>people</w:t>
      </w:r>
      <w:proofErr w:type="gramEnd"/>
    </w:p>
    <w:p w14:paraId="3936EC9C" w14:textId="11690C88" w:rsidR="00643D5F" w:rsidRDefault="00AB6F35" w:rsidP="001A2B74">
      <w:pPr>
        <w:pStyle w:val="PSC-Bullets2"/>
      </w:pPr>
      <w:r>
        <w:t xml:space="preserve">the </w:t>
      </w:r>
      <w:r w:rsidR="00643D5F" w:rsidRPr="009D4B51">
        <w:t xml:space="preserve">annual Irene Longman Oration delivered by Emeritus Professor Peter </w:t>
      </w:r>
      <w:proofErr w:type="spellStart"/>
      <w:r w:rsidR="00643D5F" w:rsidRPr="009D4B51">
        <w:t>Coaldrake</w:t>
      </w:r>
      <w:proofErr w:type="spellEnd"/>
      <w:r w:rsidR="00643D5F" w:rsidRPr="009D4B51">
        <w:t xml:space="preserve"> AO attended by around 100 public purpose </w:t>
      </w:r>
      <w:proofErr w:type="gramStart"/>
      <w:r w:rsidR="00643D5F" w:rsidRPr="009D4B51">
        <w:t>leaders</w:t>
      </w:r>
      <w:proofErr w:type="gramEnd"/>
    </w:p>
    <w:p w14:paraId="209AAC7F" w14:textId="332CC405" w:rsidR="00643D5F" w:rsidRDefault="001F15AC" w:rsidP="001A2B74">
      <w:pPr>
        <w:pStyle w:val="PSC-Bullets2"/>
      </w:pPr>
      <w:r>
        <w:t xml:space="preserve">the </w:t>
      </w:r>
      <w:r w:rsidR="00643D5F" w:rsidRPr="009D4B51">
        <w:t>Stewards on the Couch events series</w:t>
      </w:r>
    </w:p>
    <w:p w14:paraId="1FC0C17F" w14:textId="211DE2C8" w:rsidR="00643D5F" w:rsidRDefault="001F15AC" w:rsidP="001A2B74">
      <w:pPr>
        <w:pStyle w:val="PSC-Bullets2"/>
      </w:pPr>
      <w:r>
        <w:lastRenderedPageBreak/>
        <w:t xml:space="preserve">the </w:t>
      </w:r>
      <w:r w:rsidR="00643D5F" w:rsidRPr="009D4B51">
        <w:t xml:space="preserve">Challenger series events on the topics of rethinking crises and resilience post-COVID19, and citizen engagement through </w:t>
      </w:r>
      <w:proofErr w:type="gramStart"/>
      <w:r w:rsidR="00643D5F" w:rsidRPr="009D4B51">
        <w:t>complexity</w:t>
      </w:r>
      <w:proofErr w:type="gramEnd"/>
      <w:r w:rsidR="00643D5F" w:rsidRPr="009D4B51">
        <w:t xml:space="preserve"> </w:t>
      </w:r>
    </w:p>
    <w:p w14:paraId="495268AB" w14:textId="1FA2A8A2" w:rsidR="00643D5F" w:rsidRDefault="002E4573" w:rsidP="001A2B74">
      <w:pPr>
        <w:pStyle w:val="PSC-Bullets2"/>
      </w:pPr>
      <w:r>
        <w:t>h</w:t>
      </w:r>
      <w:r w:rsidR="00643D5F" w:rsidRPr="009D4B51">
        <w:t>osted the Commissioning for Outcomes Executive Roundtable</w:t>
      </w:r>
    </w:p>
    <w:p w14:paraId="0E3C4B56" w14:textId="763E9FDD" w:rsidR="00643D5F" w:rsidRDefault="002E4573" w:rsidP="001A2B74">
      <w:pPr>
        <w:pStyle w:val="PSC-Bullets2"/>
      </w:pPr>
      <w:r>
        <w:t>held e</w:t>
      </w:r>
      <w:r w:rsidR="00643D5F" w:rsidRPr="009D4B51">
        <w:t xml:space="preserve">ducational events including the </w:t>
      </w:r>
      <w:r w:rsidR="009D4309">
        <w:t>new</w:t>
      </w:r>
      <w:r w:rsidR="00643D5F" w:rsidRPr="009D4B51">
        <w:t xml:space="preserve"> Mastercraft seminar on Royal Commissions and Public Inquiries and seminars on the national economic outlook and behavioural </w:t>
      </w:r>
      <w:proofErr w:type="gramStart"/>
      <w:r w:rsidR="00643D5F" w:rsidRPr="009D4B51">
        <w:t>economics</w:t>
      </w:r>
      <w:proofErr w:type="gramEnd"/>
    </w:p>
    <w:p w14:paraId="511FA11B" w14:textId="03015571" w:rsidR="004034C6" w:rsidRDefault="00804F37" w:rsidP="001A2B74">
      <w:pPr>
        <w:pStyle w:val="PSC-Bullets2"/>
      </w:pPr>
      <w:r>
        <w:t>development of</w:t>
      </w:r>
      <w:r w:rsidR="00177D9A">
        <w:t xml:space="preserve"> </w:t>
      </w:r>
      <w:r w:rsidR="00643D5F" w:rsidRPr="009D4B51">
        <w:t>knowledge resources and online content designed to challenge and promote thinking on emerging issues and contemporary practice in public sector leadership and public policy</w:t>
      </w:r>
      <w:r w:rsidR="000F58DB">
        <w:t>.</w:t>
      </w:r>
    </w:p>
    <w:p w14:paraId="45414D84" w14:textId="27D3AC22" w:rsidR="009B3AEA" w:rsidRDefault="009B3AEA" w:rsidP="001A2B74">
      <w:pPr>
        <w:pStyle w:val="Dotpoint-Underletter"/>
      </w:pPr>
      <w:r>
        <w:t>Delivered the Aboriginal and Torres Strait Islander career pathways service</w:t>
      </w:r>
      <w:r w:rsidR="00B823B1">
        <w:t xml:space="preserve"> (the </w:t>
      </w:r>
      <w:r w:rsidR="00B80B5B">
        <w:t xml:space="preserve">career pathways </w:t>
      </w:r>
      <w:r w:rsidR="00B823B1">
        <w:t>ser</w:t>
      </w:r>
      <w:r w:rsidR="00E01B1A">
        <w:t>vice)</w:t>
      </w:r>
      <w:r>
        <w:t xml:space="preserve"> to improve representation of Aboriginal and Torres Strait Islander employees in leadership and decision-making roles and to strengthen the cultural capability of the sector.</w:t>
      </w:r>
    </w:p>
    <w:p w14:paraId="75478A9B" w14:textId="46E9709E" w:rsidR="009B3AEA" w:rsidRDefault="009B3AEA" w:rsidP="001A2B74">
      <w:pPr>
        <w:pStyle w:val="Dotpoint-Underletter"/>
      </w:pPr>
      <w:r>
        <w:t xml:space="preserve">The </w:t>
      </w:r>
      <w:r w:rsidR="00B80B5B">
        <w:t xml:space="preserve">career pathways </w:t>
      </w:r>
      <w:r>
        <w:t xml:space="preserve">service was delivered to 295 service users and 47 </w:t>
      </w:r>
      <w:r w:rsidR="00721175">
        <w:t>s</w:t>
      </w:r>
      <w:r>
        <w:t>enior Aboriginal and Torres Strait Islander sector leaders were engaged to improve the cultural capability of the sector.</w:t>
      </w:r>
    </w:p>
    <w:p w14:paraId="549D4B5A" w14:textId="652E6046" w:rsidR="009B3AEA" w:rsidRDefault="009B3AEA" w:rsidP="001A2B74">
      <w:pPr>
        <w:pStyle w:val="Dotpoint-Underletter"/>
        <w:spacing w:after="0"/>
      </w:pPr>
      <w:r>
        <w:t xml:space="preserve">The </w:t>
      </w:r>
      <w:r w:rsidR="00721175">
        <w:t xml:space="preserve">career pathways </w:t>
      </w:r>
      <w:r>
        <w:t xml:space="preserve">service leverages off existing investment within partner agencies enabling </w:t>
      </w:r>
      <w:r w:rsidR="0006436C" w:rsidRPr="0006436C">
        <w:t xml:space="preserve">the </w:t>
      </w:r>
      <w:r>
        <w:t>service access to:</w:t>
      </w:r>
    </w:p>
    <w:p w14:paraId="31609D07" w14:textId="20A468BA" w:rsidR="009B3AEA" w:rsidRDefault="009B3AEA" w:rsidP="001A2B74">
      <w:pPr>
        <w:pStyle w:val="PSC-Bullets2"/>
      </w:pPr>
      <w:r>
        <w:t xml:space="preserve">cross-agency job and mobility opportunities </w:t>
      </w:r>
    </w:p>
    <w:p w14:paraId="6274ED82" w14:textId="20A468BA" w:rsidR="009B3AEA" w:rsidRDefault="009B3AEA" w:rsidP="001A2B74">
      <w:pPr>
        <w:pStyle w:val="PSC-Bullets2"/>
      </w:pPr>
      <w:r>
        <w:t>cross-agency leadership and capability development opportunities</w:t>
      </w:r>
    </w:p>
    <w:p w14:paraId="3AC87782" w14:textId="43066DB9" w:rsidR="009B3AEA" w:rsidRDefault="000F58DB" w:rsidP="001A2B74">
      <w:pPr>
        <w:pStyle w:val="PSC-Bullets2"/>
      </w:pPr>
      <w:r>
        <w:t>n</w:t>
      </w:r>
      <w:r w:rsidR="009B3AEA">
        <w:t xml:space="preserve">etworking and events </w:t>
      </w:r>
    </w:p>
    <w:p w14:paraId="379D838E" w14:textId="454E69E4" w:rsidR="009B3AEA" w:rsidRDefault="000F58DB" w:rsidP="001A2B74">
      <w:pPr>
        <w:pStyle w:val="PSC-Bullets2"/>
      </w:pPr>
      <w:r>
        <w:t>e</w:t>
      </w:r>
      <w:r w:rsidR="009B3AEA">
        <w:t>ngagement workshops</w:t>
      </w:r>
    </w:p>
    <w:p w14:paraId="30CCA372" w14:textId="1BC35A29" w:rsidR="009B3AEA" w:rsidRDefault="000F58DB" w:rsidP="001A2B74">
      <w:pPr>
        <w:pStyle w:val="PSC-Bullets2"/>
      </w:pPr>
      <w:r>
        <w:t>y</w:t>
      </w:r>
      <w:r w:rsidR="009B3AEA">
        <w:t>arning circles</w:t>
      </w:r>
    </w:p>
    <w:p w14:paraId="35A7237B" w14:textId="7CC73123" w:rsidR="009B3AEA" w:rsidRDefault="000F58DB" w:rsidP="001A2B74">
      <w:pPr>
        <w:pStyle w:val="PSC-Bullets2"/>
      </w:pPr>
      <w:r>
        <w:t>l</w:t>
      </w:r>
      <w:r w:rsidR="009B3AEA">
        <w:t>eadership and culturally appropriate tools and resources</w:t>
      </w:r>
    </w:p>
    <w:p w14:paraId="68090211" w14:textId="0A83FD6C" w:rsidR="009B3AEA" w:rsidRDefault="000F58DB" w:rsidP="001A2B74">
      <w:pPr>
        <w:pStyle w:val="PSC-Bullets2"/>
      </w:pPr>
      <w:r>
        <w:t>s</w:t>
      </w:r>
      <w:r w:rsidR="009B3AEA">
        <w:t>elf-assessment tools</w:t>
      </w:r>
    </w:p>
    <w:p w14:paraId="40A3805A" w14:textId="3969D547" w:rsidR="00F20B5E" w:rsidRPr="00412E6B" w:rsidRDefault="000F58DB" w:rsidP="001A2B74">
      <w:pPr>
        <w:pStyle w:val="PSC-Bullets2"/>
      </w:pPr>
      <w:r>
        <w:t>o</w:t>
      </w:r>
      <w:r w:rsidR="009B3AEA">
        <w:t>nline community</w:t>
      </w:r>
      <w:r>
        <w:t>.</w:t>
      </w:r>
    </w:p>
    <w:bookmarkEnd w:id="143"/>
    <w:p w14:paraId="082F53B0" w14:textId="3144EF99" w:rsidR="006B2F5D" w:rsidRPr="006B2F5D" w:rsidRDefault="00217872" w:rsidP="00E45A53">
      <w:pPr>
        <w:pStyle w:val="Letterslist"/>
      </w:pPr>
      <w:r w:rsidRPr="49BF3F54">
        <w:t xml:space="preserve">Develop and support the senior executive service </w:t>
      </w:r>
      <w:r w:rsidR="00496775" w:rsidRPr="49BF3F54">
        <w:t xml:space="preserve">(SES) </w:t>
      </w:r>
      <w:r w:rsidRPr="49BF3F54">
        <w:t xml:space="preserve">to drive sector-wide leadership, </w:t>
      </w:r>
      <w:proofErr w:type="gramStart"/>
      <w:r w:rsidR="00773E1F" w:rsidRPr="49BF3F54">
        <w:t>collaboration</w:t>
      </w:r>
      <w:proofErr w:type="gramEnd"/>
      <w:r w:rsidRPr="49BF3F54">
        <w:t xml:space="preserve"> and performance</w:t>
      </w:r>
      <w:r w:rsidR="0097620A" w:rsidRPr="49BF3F54">
        <w:t>:</w:t>
      </w:r>
    </w:p>
    <w:p w14:paraId="1F5DF19F" w14:textId="77777777" w:rsidR="0002246F" w:rsidRDefault="00C40C70" w:rsidP="001A2B74">
      <w:pPr>
        <w:pStyle w:val="Dotpoint-Underletter"/>
      </w:pPr>
      <w:r w:rsidRPr="29D83A1A">
        <w:t>Managed agency requests for Public Sector Commissioner approval in accordance with Public Sector Commissioner Directives (</w:t>
      </w:r>
      <w:bookmarkStart w:id="144" w:name="_Int_EzymUfm7"/>
      <w:proofErr w:type="gramStart"/>
      <w:r w:rsidRPr="29D83A1A">
        <w:t>e.g.</w:t>
      </w:r>
      <w:bookmarkEnd w:id="144"/>
      <w:proofErr w:type="gramEnd"/>
      <w:r w:rsidRPr="29D83A1A">
        <w:t xml:space="preserve"> employments, remuneration, SES profile management) through the Executive Leadership Information System</w:t>
      </w:r>
    </w:p>
    <w:p w14:paraId="03B6EFEC" w14:textId="4F777A2D" w:rsidR="00065BEA" w:rsidRPr="009D4B51" w:rsidRDefault="631DF062" w:rsidP="001A2B74">
      <w:pPr>
        <w:pStyle w:val="Dotpoint-Underletter"/>
      </w:pPr>
      <w:r>
        <w:t>Provided advice on the senior executive</w:t>
      </w:r>
      <w:r w:rsidR="0BF9CD9D">
        <w:t xml:space="preserve"> </w:t>
      </w:r>
      <w:r>
        <w:t>and chief executive service employee</w:t>
      </w:r>
      <w:r w:rsidR="5428DC8B">
        <w:t xml:space="preserve"> </w:t>
      </w:r>
      <w:r>
        <w:t>lifecycle</w:t>
      </w:r>
      <w:r w:rsidR="003466A5" w:rsidRPr="003466A5">
        <w:t xml:space="preserve"> (attraction, recruitment, onboarding, development, retention, separation) and</w:t>
      </w:r>
      <w:r>
        <w:t xml:space="preserve"> coordination of the chief</w:t>
      </w:r>
      <w:r w:rsidR="046EDBD4">
        <w:t xml:space="preserve"> </w:t>
      </w:r>
      <w:r>
        <w:t>executive performance assessment and</w:t>
      </w:r>
      <w:r w:rsidR="15518344">
        <w:t xml:space="preserve"> </w:t>
      </w:r>
      <w:r>
        <w:t>agreement process.</w:t>
      </w:r>
    </w:p>
    <w:p w14:paraId="1C1ED7A0" w14:textId="718BCDE6" w:rsidR="00065BEA" w:rsidRPr="00065BEA" w:rsidRDefault="00065BEA" w:rsidP="001A2B74">
      <w:pPr>
        <w:pStyle w:val="Dotpoint-Underletter"/>
      </w:pPr>
      <w:r w:rsidRPr="474C734C">
        <w:t xml:space="preserve">Partnered with ANZSOG to continue </w:t>
      </w:r>
      <w:r w:rsidR="00431F93">
        <w:t>to deliver the</w:t>
      </w:r>
      <w:r w:rsidRPr="474C734C">
        <w:t xml:space="preserve"> Queensland public sector leadership development series 2022</w:t>
      </w:r>
      <w:r w:rsidR="00F45715">
        <w:t>–</w:t>
      </w:r>
      <w:r w:rsidRPr="474C734C">
        <w:t>2023</w:t>
      </w:r>
      <w:r w:rsidR="00431F93">
        <w:t xml:space="preserve"> that targets</w:t>
      </w:r>
      <w:r w:rsidRPr="474C734C">
        <w:t xml:space="preserve"> </w:t>
      </w:r>
      <w:r w:rsidR="009C2C11">
        <w:t>ch</w:t>
      </w:r>
      <w:r w:rsidRPr="474C734C">
        <w:t xml:space="preserve">ief executives, </w:t>
      </w:r>
      <w:proofErr w:type="gramStart"/>
      <w:r w:rsidRPr="474C734C">
        <w:t>executives</w:t>
      </w:r>
      <w:proofErr w:type="gramEnd"/>
      <w:r w:rsidRPr="474C734C">
        <w:t xml:space="preserve"> and senior leaders.  </w:t>
      </w:r>
    </w:p>
    <w:p w14:paraId="6642D304" w14:textId="20A468BA" w:rsidR="00065BEA" w:rsidRPr="00065BEA" w:rsidRDefault="00065BEA" w:rsidP="001A2B74">
      <w:pPr>
        <w:pStyle w:val="Dotpoint-Underletter"/>
        <w:spacing w:after="0"/>
      </w:pPr>
      <w:r w:rsidRPr="474C734C">
        <w:t xml:space="preserve">Coordinated </w:t>
      </w:r>
      <w:proofErr w:type="gramStart"/>
      <w:r w:rsidRPr="474C734C">
        <w:t>sector-wide</w:t>
      </w:r>
      <w:proofErr w:type="gramEnd"/>
      <w:r w:rsidRPr="474C734C">
        <w:t xml:space="preserve"> ANZSOG scholarships for senior executive leadership capability development including:  </w:t>
      </w:r>
    </w:p>
    <w:p w14:paraId="2CA61BA4" w14:textId="5B7E0118" w:rsidR="00065BEA" w:rsidRPr="00065BEA" w:rsidRDefault="00511349" w:rsidP="001A2B74">
      <w:pPr>
        <w:pStyle w:val="PSC-Bullets2"/>
      </w:pPr>
      <w:r>
        <w:t>three</w:t>
      </w:r>
      <w:r w:rsidR="00431F93">
        <w:t xml:space="preserve"> </w:t>
      </w:r>
      <w:r w:rsidR="00065BEA" w:rsidRPr="474C734C">
        <w:t xml:space="preserve">Executive Fellows Program </w:t>
      </w:r>
    </w:p>
    <w:p w14:paraId="7B7F3E96" w14:textId="02155253" w:rsidR="00065BEA" w:rsidRPr="00065BEA" w:rsidRDefault="00511349" w:rsidP="001A2B74">
      <w:pPr>
        <w:pStyle w:val="PSC-Bullets2"/>
      </w:pPr>
      <w:r>
        <w:t xml:space="preserve">four </w:t>
      </w:r>
      <w:r w:rsidR="00065BEA" w:rsidRPr="474C734C">
        <w:t xml:space="preserve">Executive Master of Public Administration  </w:t>
      </w:r>
    </w:p>
    <w:p w14:paraId="5B9102CB" w14:textId="0828BE48" w:rsidR="00065BEA" w:rsidRPr="00065BEA" w:rsidRDefault="00511349" w:rsidP="001A2B74">
      <w:pPr>
        <w:pStyle w:val="PSC-Bullets2"/>
      </w:pPr>
      <w:r>
        <w:t xml:space="preserve">three </w:t>
      </w:r>
      <w:r w:rsidR="00065BEA" w:rsidRPr="474C734C">
        <w:t>Strategic Leadership Program</w:t>
      </w:r>
      <w:r w:rsidR="00431F93">
        <w:t>.</w:t>
      </w:r>
    </w:p>
    <w:p w14:paraId="6524FACA" w14:textId="20A468BA" w:rsidR="00065BEA" w:rsidRPr="00065BEA" w:rsidRDefault="00065BEA" w:rsidP="001A2B74">
      <w:pPr>
        <w:pStyle w:val="Dotpoint-Underletter"/>
      </w:pPr>
      <w:r w:rsidRPr="474C734C">
        <w:t xml:space="preserve">Provided a fortnightly SES communique promoting internal opportunities for senior executives.  </w:t>
      </w:r>
    </w:p>
    <w:p w14:paraId="1DE27EA6" w14:textId="14DCC873" w:rsidR="00065BEA" w:rsidRPr="00D344BB" w:rsidRDefault="00065BEA" w:rsidP="001A2B74">
      <w:pPr>
        <w:pStyle w:val="Dotpoint-Underletter"/>
      </w:pPr>
      <w:r>
        <w:t>Coordinated challenge</w:t>
      </w:r>
      <w:r w:rsidR="00D07A6F">
        <w:t>-</w:t>
      </w:r>
      <w:r>
        <w:t xml:space="preserve">led innovation </w:t>
      </w:r>
      <w:r w:rsidR="008A01B4">
        <w:t xml:space="preserve">workshop </w:t>
      </w:r>
      <w:r>
        <w:t xml:space="preserve">providing an immersive opportunity for executives </w:t>
      </w:r>
      <w:r w:rsidR="5D74C16D">
        <w:t>and teams</w:t>
      </w:r>
      <w:r>
        <w:t xml:space="preserve"> </w:t>
      </w:r>
      <w:r w:rsidR="00A12543" w:rsidRPr="00A75063">
        <w:rPr>
          <w:lang w:eastAsia="en-AU"/>
        </w:rPr>
        <w:t xml:space="preserve">from Queensland Health, Department of Communities, Housing and Digital Economy, Department of </w:t>
      </w:r>
      <w:r w:rsidR="005256A5" w:rsidRPr="00A75063">
        <w:rPr>
          <w:lang w:eastAsia="en-AU"/>
        </w:rPr>
        <w:t xml:space="preserve">Education </w:t>
      </w:r>
      <w:r w:rsidR="005256A5">
        <w:rPr>
          <w:lang w:eastAsia="en-AU"/>
        </w:rPr>
        <w:t>and</w:t>
      </w:r>
      <w:r w:rsidR="00F24DEC">
        <w:rPr>
          <w:lang w:eastAsia="en-AU"/>
        </w:rPr>
        <w:t xml:space="preserve"> </w:t>
      </w:r>
      <w:r w:rsidR="00A12543" w:rsidRPr="00A75063">
        <w:rPr>
          <w:lang w:eastAsia="en-AU"/>
        </w:rPr>
        <w:t>Queensland Police Service</w:t>
      </w:r>
      <w:r w:rsidR="00D406C5" w:rsidRPr="00A75063">
        <w:rPr>
          <w:lang w:eastAsia="en-AU"/>
        </w:rPr>
        <w:t xml:space="preserve"> </w:t>
      </w:r>
      <w:r w:rsidRPr="00A75063">
        <w:rPr>
          <w:lang w:eastAsia="en-AU"/>
        </w:rPr>
        <w:t>to</w:t>
      </w:r>
      <w:r>
        <w:t xml:space="preserve"> equip teams with</w:t>
      </w:r>
      <w:r w:rsidR="00EA6A91">
        <w:t xml:space="preserve"> the</w:t>
      </w:r>
      <w:r>
        <w:t xml:space="preserve"> capability to lead</w:t>
      </w:r>
      <w:r w:rsidR="00431F93">
        <w:t xml:space="preserve">, </w:t>
      </w:r>
      <w:r>
        <w:t>navigate change and create meaningful societal impact</w:t>
      </w:r>
      <w:r w:rsidR="00431F93">
        <w:t>s</w:t>
      </w:r>
      <w:r>
        <w:t>.</w:t>
      </w:r>
    </w:p>
    <w:p w14:paraId="15215C8E" w14:textId="5DE5F33E" w:rsidR="00065BEA" w:rsidRPr="00065BEA" w:rsidRDefault="00065BEA" w:rsidP="001A2B74">
      <w:pPr>
        <w:pStyle w:val="Dotpoint-Underletter"/>
      </w:pPr>
      <w:r w:rsidRPr="474C734C">
        <w:t>Partnered with regional leadership networks</w:t>
      </w:r>
      <w:r w:rsidR="00431F93">
        <w:t>, DPC</w:t>
      </w:r>
      <w:r w:rsidRPr="474C734C">
        <w:t xml:space="preserve"> and</w:t>
      </w:r>
      <w:r w:rsidR="00431F93">
        <w:t xml:space="preserve"> the</w:t>
      </w:r>
      <w:r w:rsidRPr="474C734C">
        <w:t xml:space="preserve"> Department of Regional Development, Manufacturing and Water to implement a collaborative governance model for enhancing system stewardship for regional delivery. </w:t>
      </w:r>
    </w:p>
    <w:p w14:paraId="26CCC642" w14:textId="20A468BA" w:rsidR="006B2F5D" w:rsidRDefault="00217872" w:rsidP="00E45A53">
      <w:pPr>
        <w:pStyle w:val="Letterslist"/>
      </w:pPr>
      <w:r w:rsidRPr="00AC4BDB">
        <w:t>Support agencies to identify and develop a diverse pipeline of leaders</w:t>
      </w:r>
      <w:r w:rsidR="0097620A" w:rsidRPr="00AC4BDB">
        <w:t>:</w:t>
      </w:r>
    </w:p>
    <w:p w14:paraId="6D943752" w14:textId="57C1ADB4" w:rsidR="00AF4910" w:rsidRDefault="00AF4910" w:rsidP="00E45A53">
      <w:pPr>
        <w:pStyle w:val="Dotpoint-Underletter"/>
        <w:spacing w:after="0"/>
      </w:pPr>
      <w:r w:rsidRPr="001A2B74">
        <w:rPr>
          <w:rStyle w:val="Dotpoint-UnderletterChar"/>
        </w:rPr>
        <w:t>In 2022</w:t>
      </w:r>
      <w:r w:rsidR="00F45715">
        <w:rPr>
          <w:rStyle w:val="Dotpoint-UnderletterChar"/>
        </w:rPr>
        <w:t>–</w:t>
      </w:r>
      <w:r w:rsidRPr="001A2B74">
        <w:rPr>
          <w:rStyle w:val="Dotpoint-UnderletterChar"/>
        </w:rPr>
        <w:t>2023 the Aboriginal and Torres Strait Islander career pathways service supported</w:t>
      </w:r>
      <w:r>
        <w:t>:</w:t>
      </w:r>
    </w:p>
    <w:p w14:paraId="1CA4BD70" w14:textId="77043592" w:rsidR="00617AF6" w:rsidRDefault="00F265E2" w:rsidP="001A2B74">
      <w:pPr>
        <w:pStyle w:val="PSC-Bullets2"/>
      </w:pPr>
      <w:r w:rsidRPr="00F265E2">
        <w:t xml:space="preserve">70 mobility opportunities have been accessed, enabling participants to progress into higher duties, at-level mobility or secure permanent roles, with 14 of those temporary and permanent opportunities secured through the career pathways job </w:t>
      </w:r>
      <w:proofErr w:type="gramStart"/>
      <w:r w:rsidRPr="00F265E2">
        <w:t>pool</w:t>
      </w:r>
      <w:proofErr w:type="gramEnd"/>
    </w:p>
    <w:p w14:paraId="32B41BB6" w14:textId="042BBAAA" w:rsidR="00AF4910" w:rsidRDefault="00AF4910" w:rsidP="001A2B74">
      <w:pPr>
        <w:pStyle w:val="PSC-Bullets2"/>
      </w:pPr>
      <w:r>
        <w:t xml:space="preserve">delivery of five workshops supporting the Reciprocal mentoring pilot program with </w:t>
      </w:r>
      <w:r w:rsidR="00511349">
        <w:t>nine</w:t>
      </w:r>
      <w:r>
        <w:t xml:space="preserve"> co-mentor pairs, </w:t>
      </w:r>
      <w:r w:rsidR="00511349">
        <w:t>seven</w:t>
      </w:r>
      <w:r>
        <w:t xml:space="preserve"> of those pairs joining the 2023 Alumni group</w:t>
      </w:r>
    </w:p>
    <w:p w14:paraId="4297EAFC" w14:textId="39539488" w:rsidR="00AF4910" w:rsidRDefault="00803C79" w:rsidP="001A2B74">
      <w:pPr>
        <w:pStyle w:val="PSC-Bullets2"/>
      </w:pPr>
      <w:r>
        <w:t xml:space="preserve">production of </w:t>
      </w:r>
      <w:r w:rsidR="00AF4910">
        <w:t xml:space="preserve">23 fortnightly </w:t>
      </w:r>
      <w:r w:rsidR="008444D3">
        <w:t>e-</w:t>
      </w:r>
      <w:r w:rsidR="00AF4910">
        <w:t>newsletters promoting service user and leader profiles, cross-sector learning</w:t>
      </w:r>
      <w:r w:rsidR="00A348AD">
        <w:t xml:space="preserve">, </w:t>
      </w:r>
      <w:r w:rsidR="00AF4910">
        <w:t xml:space="preserve">development opportunities, culturally significant </w:t>
      </w:r>
      <w:proofErr w:type="gramStart"/>
      <w:r w:rsidR="00AF4910">
        <w:t>information</w:t>
      </w:r>
      <w:proofErr w:type="gramEnd"/>
      <w:r w:rsidR="00AF4910">
        <w:t xml:space="preserve"> and leadership content</w:t>
      </w:r>
    </w:p>
    <w:p w14:paraId="591EA587" w14:textId="3F65A99E" w:rsidR="00AF4910" w:rsidRDefault="00AF4910" w:rsidP="001A2B74">
      <w:pPr>
        <w:pStyle w:val="PSC-Bullets2"/>
      </w:pPr>
      <w:r>
        <w:lastRenderedPageBreak/>
        <w:t xml:space="preserve">103 cross-agency </w:t>
      </w:r>
      <w:bookmarkStart w:id="145" w:name="_Int_aEJRDAcl"/>
      <w:proofErr w:type="gramStart"/>
      <w:r>
        <w:t>learning</w:t>
      </w:r>
      <w:bookmarkEnd w:id="145"/>
      <w:proofErr w:type="gramEnd"/>
      <w:r>
        <w:t xml:space="preserve"> and development opportunities made available by partner agencies, with 77 of those accessed by service users</w:t>
      </w:r>
    </w:p>
    <w:p w14:paraId="07C12009" w14:textId="56884FD4" w:rsidR="00AF4910" w:rsidRDefault="00AF4910" w:rsidP="001A2B74">
      <w:pPr>
        <w:pStyle w:val="PSC-Bullets2"/>
      </w:pPr>
      <w:r>
        <w:t xml:space="preserve">engagement with </w:t>
      </w:r>
      <w:r w:rsidR="00511349">
        <w:t>seven</w:t>
      </w:r>
      <w:r>
        <w:t xml:space="preserve"> Aboriginal and Torres Strait Islander and non-Indigenous career guides and cultural advisors to support the individual networks and leadership development of Aboriginal and Torres Strait Islander employees and their </w:t>
      </w:r>
      <w:proofErr w:type="gramStart"/>
      <w:r>
        <w:t>supervisors</w:t>
      </w:r>
      <w:proofErr w:type="gramEnd"/>
    </w:p>
    <w:p w14:paraId="31B4B101" w14:textId="3E0C7ABA" w:rsidR="00C31D7C" w:rsidRPr="00D51756" w:rsidRDefault="00AF4910" w:rsidP="001A2B74">
      <w:pPr>
        <w:pStyle w:val="PSC-Bullets2"/>
      </w:pPr>
      <w:r>
        <w:t xml:space="preserve">facilitation of </w:t>
      </w:r>
      <w:r w:rsidR="00511349">
        <w:t>eight</w:t>
      </w:r>
      <w:r>
        <w:t xml:space="preserve"> meetings with the Queensland First Nations Ambassadors for Change group supporting the sector to </w:t>
      </w:r>
      <w:r w:rsidR="00C1685D">
        <w:t>strengthen</w:t>
      </w:r>
      <w:r>
        <w:t xml:space="preserve"> its cultural capability and incorporate</w:t>
      </w:r>
      <w:r w:rsidR="00B913FB">
        <w:t xml:space="preserve"> the perspectives of</w:t>
      </w:r>
      <w:r>
        <w:t xml:space="preserve"> First Nations </w:t>
      </w:r>
      <w:r w:rsidR="00B913FB">
        <w:t xml:space="preserve">peoples </w:t>
      </w:r>
      <w:r>
        <w:t>across policy development.</w:t>
      </w:r>
    </w:p>
    <w:p w14:paraId="116EAA77" w14:textId="602F79BB" w:rsidR="00495F50" w:rsidRPr="000D2E6A" w:rsidRDefault="00217872" w:rsidP="007C5D4E">
      <w:pPr>
        <w:pStyle w:val="PSCBodystrong"/>
      </w:pPr>
      <w:bookmarkStart w:id="146" w:name="_Toc74055897"/>
      <w:bookmarkStart w:id="147" w:name="_Toc76549851"/>
      <w:bookmarkStart w:id="148" w:name="_Toc79493359"/>
      <w:bookmarkStart w:id="149" w:name="_Toc141781795"/>
      <w:bookmarkStart w:id="150" w:name="_Toc141781957"/>
      <w:bookmarkStart w:id="151" w:name="_Toc144285966"/>
      <w:bookmarkStart w:id="152" w:name="_Hlk75853281"/>
      <w:bookmarkStart w:id="153" w:name="_Hlk74130564"/>
      <w:r w:rsidRPr="000D2E6A">
        <w:t xml:space="preserve">Strategic objective 3: Support the public sector to prepare for and respond to strategic workforce </w:t>
      </w:r>
      <w:proofErr w:type="gramStart"/>
      <w:r w:rsidRPr="000D2E6A">
        <w:t>challenges</w:t>
      </w:r>
      <w:bookmarkEnd w:id="146"/>
      <w:bookmarkEnd w:id="147"/>
      <w:bookmarkEnd w:id="148"/>
      <w:bookmarkEnd w:id="149"/>
      <w:bookmarkEnd w:id="150"/>
      <w:bookmarkEnd w:id="151"/>
      <w:proofErr w:type="gramEnd"/>
    </w:p>
    <w:p w14:paraId="7C904B55" w14:textId="46A6F770" w:rsidR="00447628" w:rsidRPr="00447628" w:rsidRDefault="00217872" w:rsidP="00E45A53">
      <w:pPr>
        <w:pStyle w:val="Letterslist"/>
        <w:numPr>
          <w:ilvl w:val="0"/>
          <w:numId w:val="24"/>
        </w:numPr>
      </w:pPr>
      <w:r w:rsidRPr="00447628">
        <w:t>Lead sector-wide responses to emerging workforce challenges and system disruptions</w:t>
      </w:r>
      <w:r w:rsidR="0097620A" w:rsidRPr="00447628">
        <w:t>:</w:t>
      </w:r>
      <w:bookmarkEnd w:id="152"/>
      <w:bookmarkEnd w:id="153"/>
    </w:p>
    <w:p w14:paraId="20111BDC" w14:textId="27E3D4BE" w:rsidR="004653CF" w:rsidRPr="001A2B74" w:rsidRDefault="00C8036C" w:rsidP="001A2B74">
      <w:pPr>
        <w:pStyle w:val="Dotpoint-Underletter"/>
      </w:pPr>
      <w:r w:rsidRPr="001A2B74">
        <w:t>C</w:t>
      </w:r>
      <w:r w:rsidR="004653CF" w:rsidRPr="001A2B74">
        <w:t xml:space="preserve">ontinued to lead a sector-wide approach to </w:t>
      </w:r>
      <w:r w:rsidR="00A22B2F" w:rsidRPr="001A2B74">
        <w:t>manag</w:t>
      </w:r>
      <w:r w:rsidR="00A74C76" w:rsidRPr="001A2B74">
        <w:t>ing</w:t>
      </w:r>
      <w:r w:rsidR="00A22B2F" w:rsidRPr="001A2B74">
        <w:t xml:space="preserve"> </w:t>
      </w:r>
      <w:r w:rsidR="004653CF" w:rsidRPr="001A2B74">
        <w:t>public sector workforce growth and ensure effective oversight and governance of reporting</w:t>
      </w:r>
      <w:r w:rsidRPr="001A2B74">
        <w:t>.</w:t>
      </w:r>
    </w:p>
    <w:p w14:paraId="4B667873" w14:textId="71F485AD" w:rsidR="004653CF" w:rsidRPr="001A2B74" w:rsidRDefault="00C8036C" w:rsidP="001A2B74">
      <w:pPr>
        <w:pStyle w:val="Dotpoint-Underletter"/>
      </w:pPr>
      <w:r w:rsidRPr="001A2B74">
        <w:t>C</w:t>
      </w:r>
      <w:r w:rsidR="004653CF" w:rsidRPr="001A2B74">
        <w:t xml:space="preserve">ontinued to undertake a significant review of the way the public sector manages health, </w:t>
      </w:r>
      <w:proofErr w:type="gramStart"/>
      <w:r w:rsidR="004653CF" w:rsidRPr="001A2B74">
        <w:t>safety</w:t>
      </w:r>
      <w:proofErr w:type="gramEnd"/>
      <w:r w:rsidR="004653CF" w:rsidRPr="001A2B74">
        <w:t xml:space="preserve"> and wellbeing to progress a government election commitment, under the guidance of a review advisory panel with representatives from the Strategic Workforce Council and </w:t>
      </w:r>
      <w:r w:rsidR="00D956CF" w:rsidRPr="001A2B74">
        <w:t>OIR</w:t>
      </w:r>
      <w:r w:rsidRPr="001A2B74">
        <w:t>.</w:t>
      </w:r>
    </w:p>
    <w:p w14:paraId="3527B017" w14:textId="43DDADD2" w:rsidR="004653CF" w:rsidRPr="001A2B74" w:rsidRDefault="00C8036C" w:rsidP="001A2B74">
      <w:pPr>
        <w:pStyle w:val="Dotpoint-Underletter"/>
      </w:pPr>
      <w:r w:rsidRPr="001A2B74">
        <w:t>D</w:t>
      </w:r>
      <w:r w:rsidR="004653CF" w:rsidRPr="001A2B74">
        <w:t>eveloped a sect</w:t>
      </w:r>
      <w:r w:rsidR="0020525C" w:rsidRPr="001A2B74">
        <w:t>or-w</w:t>
      </w:r>
      <w:r w:rsidR="00071D85" w:rsidRPr="001A2B74">
        <w:t>ide</w:t>
      </w:r>
      <w:r w:rsidR="007A58B3" w:rsidRPr="001A2B74">
        <w:t xml:space="preserve"> strategy and resources to support health and safety representatives and enable </w:t>
      </w:r>
      <w:r w:rsidR="00A22B2F" w:rsidRPr="001A2B74">
        <w:t xml:space="preserve">employees </w:t>
      </w:r>
      <w:r w:rsidR="007A58B3" w:rsidRPr="001A2B74">
        <w:t>in the public sector to better engage in work</w:t>
      </w:r>
      <w:r w:rsidR="00B10BC3" w:rsidRPr="001A2B74">
        <w:t>place</w:t>
      </w:r>
      <w:r w:rsidR="007A58B3" w:rsidRPr="001A2B74">
        <w:t xml:space="preserve"> health and safety</w:t>
      </w:r>
      <w:r w:rsidRPr="001A2B74">
        <w:t>.</w:t>
      </w:r>
    </w:p>
    <w:p w14:paraId="7D343662" w14:textId="4C547DEB" w:rsidR="004653CF" w:rsidRPr="001A2B74" w:rsidRDefault="00C8036C" w:rsidP="001A2B74">
      <w:pPr>
        <w:pStyle w:val="Dotpoint-Underletter"/>
      </w:pPr>
      <w:r w:rsidRPr="001A2B74">
        <w:t>C</w:t>
      </w:r>
      <w:r w:rsidR="007A58B3" w:rsidRPr="001A2B74">
        <w:t xml:space="preserve">ontinued to support the sector </w:t>
      </w:r>
      <w:r w:rsidR="0021573F" w:rsidRPr="001A2B74">
        <w:t>to create</w:t>
      </w:r>
      <w:r w:rsidR="007A58B3" w:rsidRPr="001A2B74">
        <w:t xml:space="preserve"> mentally healthy workplaces</w:t>
      </w:r>
      <w:r w:rsidR="009A54A3" w:rsidRPr="001A2B74">
        <w:t>, including managing the risks of psychosocial hazards</w:t>
      </w:r>
      <w:r w:rsidRPr="001A2B74">
        <w:t>.</w:t>
      </w:r>
    </w:p>
    <w:p w14:paraId="7B7D3BDB" w14:textId="20A468BA" w:rsidR="0062157A" w:rsidRPr="001A2B74" w:rsidRDefault="0062157A" w:rsidP="001A2B74">
      <w:pPr>
        <w:pStyle w:val="Dotpoint-Underletter"/>
      </w:pPr>
      <w:r w:rsidRPr="001A2B74">
        <w:t>Worked in partnership with 36 Aboriginal and Torres Strait Islander leaders across the sector to address system barriers impacting progression of Aboriginal and Torres Strait Islander employees.</w:t>
      </w:r>
    </w:p>
    <w:p w14:paraId="4ECA87A1" w14:textId="5A8C0327" w:rsidR="00447628" w:rsidRPr="001A2B74" w:rsidRDefault="0062157A" w:rsidP="001A2B74">
      <w:pPr>
        <w:pStyle w:val="Dotpoint-Underletter"/>
      </w:pPr>
      <w:r w:rsidRPr="001A2B74">
        <w:t xml:space="preserve">Partnered with the </w:t>
      </w:r>
      <w:r w:rsidR="1C30A20A" w:rsidRPr="001A2B74">
        <w:t xml:space="preserve">then </w:t>
      </w:r>
      <w:r w:rsidRPr="001A2B74">
        <w:t xml:space="preserve">Department of Aboriginal and Torres Strait Islander Partnerships, </w:t>
      </w:r>
      <w:proofErr w:type="gramStart"/>
      <w:r w:rsidRPr="001A2B74">
        <w:t>Communities</w:t>
      </w:r>
      <w:proofErr w:type="gramEnd"/>
      <w:r w:rsidRPr="001A2B74">
        <w:t xml:space="preserve"> and the Arts to deliver a sector-wide </w:t>
      </w:r>
      <w:r w:rsidR="0021573F" w:rsidRPr="001A2B74">
        <w:t>c</w:t>
      </w:r>
      <w:r w:rsidRPr="001A2B74">
        <w:t>o-</w:t>
      </w:r>
      <w:r w:rsidR="0021573F" w:rsidRPr="001A2B74">
        <w:t>d</w:t>
      </w:r>
      <w:r w:rsidRPr="001A2B74">
        <w:t xml:space="preserve">esign </w:t>
      </w:r>
      <w:r w:rsidR="0021573F" w:rsidRPr="001A2B74">
        <w:t>c</w:t>
      </w:r>
      <w:r w:rsidRPr="001A2B74">
        <w:t xml:space="preserve">ommunity of </w:t>
      </w:r>
      <w:r w:rsidR="0021573F" w:rsidRPr="001A2B74">
        <w:t>p</w:t>
      </w:r>
      <w:r w:rsidRPr="001A2B74">
        <w:t>ractice</w:t>
      </w:r>
      <w:r w:rsidR="0021573F" w:rsidRPr="001A2B74">
        <w:t>.</w:t>
      </w:r>
    </w:p>
    <w:p w14:paraId="1A1F60D9" w14:textId="0969ECE1" w:rsidR="00217872" w:rsidRPr="00447628" w:rsidRDefault="00217872" w:rsidP="00E45A53">
      <w:pPr>
        <w:pStyle w:val="Letterslist"/>
      </w:pPr>
      <w:r w:rsidRPr="00447628">
        <w:t>Provide agencies with expert advice to develop contemporary workforce strategy</w:t>
      </w:r>
      <w:r w:rsidR="0097620A" w:rsidRPr="00447628">
        <w:t>:</w:t>
      </w:r>
    </w:p>
    <w:p w14:paraId="329243A2" w14:textId="19495A73" w:rsidR="00DF4315" w:rsidRPr="00DF4315" w:rsidRDefault="00DF4315" w:rsidP="001A2B74">
      <w:pPr>
        <w:pStyle w:val="Dotpoint-Underletter"/>
      </w:pPr>
      <w:r w:rsidRPr="00DF4315">
        <w:t>Facilitated the development of annual strategic workforce plans by departments as part of sector-wide planning requirements.</w:t>
      </w:r>
    </w:p>
    <w:p w14:paraId="55024D93" w14:textId="52B1735A" w:rsidR="00751BCE" w:rsidRDefault="5B3AAA96" w:rsidP="001A2B74">
      <w:pPr>
        <w:pStyle w:val="Dotpoint-Underletter"/>
      </w:pPr>
      <w:r>
        <w:t xml:space="preserve">Developed </w:t>
      </w:r>
      <w:r w:rsidR="00371423">
        <w:t>the Flex-connect framework</w:t>
      </w:r>
      <w:r w:rsidR="000C5CA1">
        <w:t xml:space="preserve"> and resources to provide practical guidance to employees and managers </w:t>
      </w:r>
      <w:r w:rsidR="00690ABE">
        <w:t>that</w:t>
      </w:r>
      <w:r w:rsidR="00180CD7">
        <w:t xml:space="preserve"> ensure</w:t>
      </w:r>
      <w:r w:rsidR="000C5CA1">
        <w:t xml:space="preserve"> flexible work continues to </w:t>
      </w:r>
      <w:r w:rsidR="00E20E27">
        <w:t xml:space="preserve">support </w:t>
      </w:r>
      <w:r w:rsidR="00E37E35">
        <w:t xml:space="preserve">better </w:t>
      </w:r>
      <w:r w:rsidR="00E20E27">
        <w:t xml:space="preserve">equity, diversity, </w:t>
      </w:r>
      <w:proofErr w:type="gramStart"/>
      <w:r w:rsidR="00E20E27">
        <w:t>wellbeing</w:t>
      </w:r>
      <w:proofErr w:type="gramEnd"/>
      <w:r w:rsidR="00E20E27">
        <w:t xml:space="preserve"> and productivity outcomes. </w:t>
      </w:r>
    </w:p>
    <w:p w14:paraId="4794DA5F" w14:textId="20A468BA" w:rsidR="00E977E1" w:rsidRDefault="00E977E1" w:rsidP="001A2B74">
      <w:pPr>
        <w:pStyle w:val="Dotpoint-Underletter"/>
      </w:pPr>
      <w:r>
        <w:t>Provided strategic advice to agencies on collaborative ways of working, design thinking practices, co-design and systems thinking.</w:t>
      </w:r>
    </w:p>
    <w:p w14:paraId="1B01BADD" w14:textId="18C14414" w:rsidR="00447628" w:rsidRPr="006B1D1C" w:rsidRDefault="00E977E1" w:rsidP="001A2B74">
      <w:pPr>
        <w:pStyle w:val="Dotpoint-Underletter"/>
      </w:pPr>
      <w:r>
        <w:t xml:space="preserve">Engaged with agencies to influence </w:t>
      </w:r>
      <w:r w:rsidR="0064765E">
        <w:t xml:space="preserve">the </w:t>
      </w:r>
      <w:r>
        <w:t xml:space="preserve">implementation of Reframing the </w:t>
      </w:r>
      <w:r w:rsidR="00EE6660">
        <w:t>r</w:t>
      </w:r>
      <w:r>
        <w:t xml:space="preserve">elationship </w:t>
      </w:r>
      <w:r w:rsidR="00EE6660">
        <w:t>p</w:t>
      </w:r>
      <w:r>
        <w:t>lans as required</w:t>
      </w:r>
      <w:r w:rsidR="00EE6660">
        <w:t xml:space="preserve"> </w:t>
      </w:r>
      <w:r w:rsidR="002755A2">
        <w:t xml:space="preserve">by the Act, </w:t>
      </w:r>
      <w:r>
        <w:t xml:space="preserve">and to learn more about </w:t>
      </w:r>
      <w:r w:rsidR="001F14CA">
        <w:t xml:space="preserve">chapter one, </w:t>
      </w:r>
      <w:r w:rsidR="008F2A5E">
        <w:t>p</w:t>
      </w:r>
      <w:r>
        <w:t xml:space="preserve">art </w:t>
      </w:r>
      <w:r w:rsidR="0064765E">
        <w:t>three</w:t>
      </w:r>
      <w:r>
        <w:t xml:space="preserve"> of </w:t>
      </w:r>
      <w:r w:rsidR="00145B24">
        <w:rPr>
          <w:iCs/>
        </w:rPr>
        <w:t>the Act</w:t>
      </w:r>
      <w:r>
        <w:t xml:space="preserve"> </w:t>
      </w:r>
      <w:r w:rsidR="00EC496E">
        <w:t xml:space="preserve">and consider its import to </w:t>
      </w:r>
      <w:r>
        <w:t>workforce capability.</w:t>
      </w:r>
    </w:p>
    <w:p w14:paraId="103D1766" w14:textId="7B467CAF" w:rsidR="00217872" w:rsidRPr="006B1D1C" w:rsidRDefault="00217872" w:rsidP="00E45A53">
      <w:pPr>
        <w:pStyle w:val="Letterslist"/>
      </w:pPr>
      <w:r w:rsidRPr="006B1D1C">
        <w:t>Increase agencies’ confidence and readiness to manage the workforce impacts of technology</w:t>
      </w:r>
      <w:r w:rsidR="0097620A" w:rsidRPr="006B1D1C">
        <w:t>:</w:t>
      </w:r>
    </w:p>
    <w:p w14:paraId="31287121" w14:textId="08239D7C" w:rsidR="00B62129" w:rsidRPr="006B1D1C" w:rsidRDefault="003008C0" w:rsidP="001A2B74">
      <w:pPr>
        <w:pStyle w:val="Dotpoint-Underletter"/>
      </w:pPr>
      <w:r>
        <w:t>C</w:t>
      </w:r>
      <w:r w:rsidR="001C1FE1">
        <w:t>ommenced research and engagement with agencies to develop and implement resources that provide practical support and g</w:t>
      </w:r>
      <w:r w:rsidR="00D72403">
        <w:t>uidance</w:t>
      </w:r>
      <w:r w:rsidR="00F3320D">
        <w:t xml:space="preserve"> to the sector on workforce planning</w:t>
      </w:r>
      <w:r>
        <w:t>.</w:t>
      </w:r>
    </w:p>
    <w:p w14:paraId="14332E11" w14:textId="25F60956" w:rsidR="00F3320D" w:rsidRPr="006B1D1C" w:rsidRDefault="003714A3" w:rsidP="001A2B74">
      <w:pPr>
        <w:pStyle w:val="Dotpoint-Underletter"/>
      </w:pPr>
      <w:r>
        <w:t>S</w:t>
      </w:r>
      <w:r w:rsidR="00F3320D">
        <w:t xml:space="preserve">upported agencies to incorporate the </w:t>
      </w:r>
      <w:r w:rsidR="00E452CF">
        <w:t>3-year</w:t>
      </w:r>
      <w:r w:rsidR="00624521">
        <w:t xml:space="preserve"> human </w:t>
      </w:r>
      <w:r w:rsidR="00D1439A">
        <w:t xml:space="preserve">capital </w:t>
      </w:r>
      <w:r w:rsidR="00571686">
        <w:t xml:space="preserve">strategic roadmap </w:t>
      </w:r>
      <w:r w:rsidR="007C42A3">
        <w:t>2022 into workforce planning</w:t>
      </w:r>
      <w:r>
        <w:t>.</w:t>
      </w:r>
    </w:p>
    <w:p w14:paraId="1BC2145A" w14:textId="607DA009" w:rsidR="007C42A3" w:rsidRPr="006B1D1C" w:rsidRDefault="00694F11" w:rsidP="001A2B74">
      <w:pPr>
        <w:pStyle w:val="Dotpoint-Underletter"/>
      </w:pPr>
      <w:r>
        <w:t>S</w:t>
      </w:r>
      <w:r w:rsidR="007C42A3">
        <w:t xml:space="preserve">upported </w:t>
      </w:r>
      <w:r w:rsidR="00A6BABB">
        <w:t xml:space="preserve">the </w:t>
      </w:r>
      <w:r w:rsidR="0073148F">
        <w:t>S</w:t>
      </w:r>
      <w:r w:rsidR="007C42A3">
        <w:t xml:space="preserve">trategic Workforce Council by designing and facilitating </w:t>
      </w:r>
      <w:r w:rsidR="009366F0">
        <w:t>a sector-wide</w:t>
      </w:r>
      <w:r w:rsidR="001468AF">
        <w:t xml:space="preserve"> risk management process</w:t>
      </w:r>
      <w:r>
        <w:t>.</w:t>
      </w:r>
    </w:p>
    <w:p w14:paraId="2E7E56D1" w14:textId="08ECA95D" w:rsidR="00447628" w:rsidRPr="006B1D1C" w:rsidRDefault="00694F11" w:rsidP="001A2B74">
      <w:pPr>
        <w:pStyle w:val="Dotpoint-Underletter"/>
      </w:pPr>
      <w:r>
        <w:t>F</w:t>
      </w:r>
      <w:r w:rsidR="001468AF">
        <w:t>acilitated workshop</w:t>
      </w:r>
      <w:r>
        <w:t>s</w:t>
      </w:r>
      <w:r w:rsidR="001468AF">
        <w:t xml:space="preserve"> with </w:t>
      </w:r>
      <w:r w:rsidR="2F2D7806">
        <w:t xml:space="preserve">the </w:t>
      </w:r>
      <w:r w:rsidR="001468AF">
        <w:t>Strategic Workforce Council on talent acquisition and employee value proposition</w:t>
      </w:r>
      <w:r w:rsidR="00744BE3">
        <w:t>, to inform future work in this area</w:t>
      </w:r>
      <w:r w:rsidR="002243A0">
        <w:t>.</w:t>
      </w:r>
    </w:p>
    <w:p w14:paraId="44A10150" w14:textId="19B553DF" w:rsidR="00F30ED1" w:rsidRPr="006B1D1C" w:rsidRDefault="00217872" w:rsidP="001A2B74">
      <w:pPr>
        <w:pStyle w:val="Dotpoint-Underletter"/>
        <w:rPr>
          <w:b/>
        </w:rPr>
      </w:pPr>
      <w:r w:rsidRPr="006B1D1C">
        <w:rPr>
          <w:b/>
        </w:rPr>
        <w:t>Partner with agencies to promote workforce diversity, employee wellbeing and safe work</w:t>
      </w:r>
      <w:r w:rsidR="0097620A" w:rsidRPr="006B1D1C">
        <w:rPr>
          <w:b/>
        </w:rPr>
        <w:t>:</w:t>
      </w:r>
    </w:p>
    <w:p w14:paraId="0D03618D" w14:textId="4BB04F91" w:rsidR="00412E6B" w:rsidRPr="006B1D1C" w:rsidRDefault="002243A0" w:rsidP="001A2B74">
      <w:pPr>
        <w:pStyle w:val="Dotpoint-Underletter"/>
        <w:spacing w:after="0"/>
        <w:rPr>
          <w:rFonts w:eastAsia="Calibri"/>
        </w:rPr>
      </w:pPr>
      <w:bookmarkStart w:id="154" w:name="_Toc79493360"/>
      <w:r>
        <w:t>S</w:t>
      </w:r>
      <w:r w:rsidR="003010F7">
        <w:t>upported</w:t>
      </w:r>
      <w:r w:rsidR="00462605">
        <w:t xml:space="preserve"> the Chief Executive Leadership Board to establish </w:t>
      </w:r>
      <w:r w:rsidR="00CA1A77">
        <w:t xml:space="preserve">the following </w:t>
      </w:r>
      <w:r w:rsidR="00462605">
        <w:t>sector-wide</w:t>
      </w:r>
      <w:r w:rsidR="003250C1">
        <w:t xml:space="preserve"> employment targets for diversity groups</w:t>
      </w:r>
      <w:r w:rsidR="00891B47">
        <w:t>:</w:t>
      </w:r>
    </w:p>
    <w:p w14:paraId="313CB891" w14:textId="644C1F2D" w:rsidR="00891B47" w:rsidRPr="006B1D1C" w:rsidRDefault="00EC2B10" w:rsidP="001A2B74">
      <w:pPr>
        <w:pStyle w:val="PSC-Bullets2"/>
        <w:rPr>
          <w:rFonts w:eastAsia="Calibri"/>
        </w:rPr>
      </w:pPr>
      <w:r>
        <w:t xml:space="preserve">4 per cent </w:t>
      </w:r>
      <w:r w:rsidR="008C1AA5">
        <w:t xml:space="preserve">Aboriginal </w:t>
      </w:r>
      <w:r w:rsidR="00F7628E">
        <w:t xml:space="preserve">and Torres Strait Islander </w:t>
      </w:r>
      <w:r w:rsidR="00911B8F">
        <w:t>peoples</w:t>
      </w:r>
    </w:p>
    <w:p w14:paraId="5B181C8A" w14:textId="708D286F" w:rsidR="00E92728" w:rsidRPr="006B1D1C" w:rsidRDefault="003C6341" w:rsidP="001A2B74">
      <w:pPr>
        <w:pStyle w:val="PSC-Bullets2"/>
        <w:rPr>
          <w:rFonts w:eastAsia="Calibri"/>
        </w:rPr>
      </w:pPr>
      <w:r>
        <w:t>12 per cent peo</w:t>
      </w:r>
      <w:r w:rsidR="00E14F3E">
        <w:t>ple with disability</w:t>
      </w:r>
    </w:p>
    <w:p w14:paraId="446ABB89" w14:textId="03BB5F72" w:rsidR="00E14F3E" w:rsidRPr="006B1D1C" w:rsidRDefault="00E14F3E" w:rsidP="001A2B74">
      <w:pPr>
        <w:pStyle w:val="PSC-Bullets2"/>
        <w:rPr>
          <w:rFonts w:eastAsia="Calibri"/>
        </w:rPr>
      </w:pPr>
      <w:r>
        <w:t>12 per cent culturally and linguistically diverse</w:t>
      </w:r>
      <w:r w:rsidR="00587998">
        <w:t xml:space="preserve"> peoples, who speak a language other than English at </w:t>
      </w:r>
      <w:proofErr w:type="gramStart"/>
      <w:r w:rsidR="00587998">
        <w:t>home</w:t>
      </w:r>
      <w:proofErr w:type="gramEnd"/>
    </w:p>
    <w:p w14:paraId="08AE3552" w14:textId="126EF2A8" w:rsidR="00807B93" w:rsidRPr="006B1D1C" w:rsidRDefault="00807B93" w:rsidP="001A2B74">
      <w:pPr>
        <w:pStyle w:val="PSC-Bullets2"/>
        <w:rPr>
          <w:rFonts w:eastAsia="Calibri"/>
        </w:rPr>
      </w:pPr>
      <w:r>
        <w:t xml:space="preserve">50 per cent women in </w:t>
      </w:r>
      <w:r w:rsidR="002154D6">
        <w:t>leadership (to be measured at the SO, SES2, SES3, SES4</w:t>
      </w:r>
      <w:r w:rsidR="003F3CC6">
        <w:t xml:space="preserve"> and CEO levels, with targets combining both classified and equivalent roles)</w:t>
      </w:r>
      <w:r w:rsidR="002D1CC3">
        <w:t>.</w:t>
      </w:r>
    </w:p>
    <w:p w14:paraId="3AB12174" w14:textId="2A77CA05" w:rsidR="008815C2" w:rsidRPr="006B1D1C" w:rsidRDefault="008815C2" w:rsidP="001A2B74">
      <w:pPr>
        <w:pStyle w:val="Dotpoint-Underletter"/>
      </w:pPr>
      <w:r>
        <w:lastRenderedPageBreak/>
        <w:t xml:space="preserve">Continued to support the </w:t>
      </w:r>
      <w:r w:rsidRPr="1C1C52B1">
        <w:rPr>
          <w:i/>
          <w:iCs/>
        </w:rPr>
        <w:t>Inclusion and Diversity Strategy 2021</w:t>
      </w:r>
      <w:r w:rsidR="002407B9">
        <w:rPr>
          <w:i/>
          <w:iCs/>
        </w:rPr>
        <w:t>–</w:t>
      </w:r>
      <w:r w:rsidRPr="1C1C52B1">
        <w:rPr>
          <w:i/>
          <w:iCs/>
        </w:rPr>
        <w:t>2025</w:t>
      </w:r>
      <w:r>
        <w:t xml:space="preserve"> and </w:t>
      </w:r>
      <w:r w:rsidR="324203DF">
        <w:t xml:space="preserve">the </w:t>
      </w:r>
      <w:r w:rsidRPr="0068561B">
        <w:rPr>
          <w:iCs/>
        </w:rPr>
        <w:t>Disabling the barriers to employment in the Queensland public sector</w:t>
      </w:r>
      <w:r>
        <w:t xml:space="preserve"> </w:t>
      </w:r>
      <w:r w:rsidR="007010DA">
        <w:t xml:space="preserve">implementation plan </w:t>
      </w:r>
      <w:r>
        <w:t>to drive improved representation and the employment experience of people with disability</w:t>
      </w:r>
      <w:r w:rsidR="009D71AB">
        <w:t>.</w:t>
      </w:r>
    </w:p>
    <w:p w14:paraId="02BCA246" w14:textId="79FE580B" w:rsidR="008815C2" w:rsidRPr="006B1D1C" w:rsidRDefault="00105B61" w:rsidP="001A2B74">
      <w:pPr>
        <w:pStyle w:val="Dotpoint-Underletter"/>
      </w:pPr>
      <w:r>
        <w:t>Delivered monthly inclusion and diversity community of practice sessions to support inclusive work environments, resource sharing and promoting best practices and initiatives</w:t>
      </w:r>
      <w:r w:rsidR="009D71AB">
        <w:t>.</w:t>
      </w:r>
    </w:p>
    <w:p w14:paraId="42D222FE" w14:textId="5D548D8D" w:rsidR="00105B61" w:rsidRPr="006B1D1C" w:rsidRDefault="00105B61" w:rsidP="001A2B74">
      <w:pPr>
        <w:pStyle w:val="Dotpoint-Underletter"/>
      </w:pPr>
      <w:r>
        <w:t>Initiated the development of a sector</w:t>
      </w:r>
      <w:r w:rsidR="008F08D1">
        <w:t>-wide</w:t>
      </w:r>
      <w:r w:rsidR="00075535">
        <w:t xml:space="preserve"> adjustment</w:t>
      </w:r>
      <w:r w:rsidR="00CB4BBB">
        <w:t>s policy and supporting resources</w:t>
      </w:r>
      <w:r w:rsidR="00201DD7">
        <w:t xml:space="preserve"> for people with disability to improve consistency in approach and outcomes</w:t>
      </w:r>
      <w:r w:rsidR="00DB77E8">
        <w:t>.</w:t>
      </w:r>
    </w:p>
    <w:p w14:paraId="07ED7EA7" w14:textId="6C71C17A" w:rsidR="00201DD7" w:rsidRPr="006B1D1C" w:rsidRDefault="00DB77E8" w:rsidP="001A2B74">
      <w:pPr>
        <w:pStyle w:val="Dotpoint-Underletter"/>
      </w:pPr>
      <w:r>
        <w:t>C</w:t>
      </w:r>
      <w:r w:rsidR="00201DD7">
        <w:t>ontinued to provide support and funding</w:t>
      </w:r>
      <w:r w:rsidR="10D60E65">
        <w:t xml:space="preserve"> for</w:t>
      </w:r>
      <w:r w:rsidR="00201DD7">
        <w:t xml:space="preserve"> the LGBTIQ+</w:t>
      </w:r>
      <w:r w:rsidR="00CD0343">
        <w:t xml:space="preserve"> steering committee to deliver a range of initiatives across the sector to improve outcomes</w:t>
      </w:r>
      <w:r w:rsidR="00980CEF">
        <w:t>.</w:t>
      </w:r>
    </w:p>
    <w:p w14:paraId="135690F2" w14:textId="36E55DB2" w:rsidR="00842598" w:rsidRPr="006B1D1C" w:rsidRDefault="000645CB" w:rsidP="001A2B74">
      <w:pPr>
        <w:pStyle w:val="Dotpoint-Underletter"/>
      </w:pPr>
      <w:r>
        <w:t>E</w:t>
      </w:r>
      <w:r w:rsidR="00842598">
        <w:t xml:space="preserve">valuated the </w:t>
      </w:r>
      <w:r w:rsidR="00842598" w:rsidRPr="1E0A7C03">
        <w:rPr>
          <w:i/>
          <w:iCs/>
        </w:rPr>
        <w:t xml:space="preserve">Queensland public sector LGBTIQ+ </w:t>
      </w:r>
      <w:r w:rsidR="00E0165D" w:rsidRPr="1E0A7C03">
        <w:rPr>
          <w:i/>
          <w:iCs/>
        </w:rPr>
        <w:t>i</w:t>
      </w:r>
      <w:r w:rsidR="00842598" w:rsidRPr="1E0A7C03">
        <w:rPr>
          <w:i/>
          <w:iCs/>
        </w:rPr>
        <w:t xml:space="preserve">nclusion </w:t>
      </w:r>
      <w:r w:rsidR="00E0165D" w:rsidRPr="1E0A7C03">
        <w:rPr>
          <w:i/>
          <w:iCs/>
        </w:rPr>
        <w:t>s</w:t>
      </w:r>
      <w:r w:rsidR="00842598" w:rsidRPr="1E0A7C03">
        <w:rPr>
          <w:i/>
          <w:iCs/>
        </w:rPr>
        <w:t>trategy 2017</w:t>
      </w:r>
      <w:r w:rsidR="002407B9">
        <w:rPr>
          <w:i/>
          <w:iCs/>
        </w:rPr>
        <w:t>–</w:t>
      </w:r>
      <w:r w:rsidR="00842598" w:rsidRPr="1E0A7C03">
        <w:rPr>
          <w:i/>
          <w:iCs/>
        </w:rPr>
        <w:t>2022</w:t>
      </w:r>
      <w:r w:rsidR="00BF5732" w:rsidRPr="1E0A7C03">
        <w:rPr>
          <w:i/>
          <w:iCs/>
        </w:rPr>
        <w:t xml:space="preserve">, </w:t>
      </w:r>
      <w:r w:rsidR="00BF5732">
        <w:t>which informed</w:t>
      </w:r>
      <w:r w:rsidR="002C267B">
        <w:t xml:space="preserve"> the development of </w:t>
      </w:r>
      <w:r w:rsidR="003665C6">
        <w:t>the</w:t>
      </w:r>
      <w:r w:rsidR="002C267B">
        <w:t xml:space="preserve"> </w:t>
      </w:r>
      <w:r w:rsidRPr="00C51C0E">
        <w:rPr>
          <w:iCs/>
        </w:rPr>
        <w:t>LGBTIQ</w:t>
      </w:r>
      <w:r w:rsidR="002C267B" w:rsidRPr="00C51C0E">
        <w:rPr>
          <w:iCs/>
        </w:rPr>
        <w:t>+</w:t>
      </w:r>
      <w:r w:rsidR="00314B70" w:rsidRPr="00C51C0E">
        <w:rPr>
          <w:iCs/>
        </w:rPr>
        <w:t xml:space="preserve"> </w:t>
      </w:r>
      <w:r w:rsidR="006D0124" w:rsidRPr="00C51C0E">
        <w:rPr>
          <w:iCs/>
        </w:rPr>
        <w:t>a</w:t>
      </w:r>
      <w:r w:rsidR="00314B70" w:rsidRPr="00C51C0E">
        <w:rPr>
          <w:iCs/>
        </w:rPr>
        <w:t xml:space="preserve">ction </w:t>
      </w:r>
      <w:r w:rsidR="006D0124" w:rsidRPr="00C51C0E">
        <w:rPr>
          <w:iCs/>
        </w:rPr>
        <w:t>p</w:t>
      </w:r>
      <w:r w:rsidR="00314B70" w:rsidRPr="00C51C0E">
        <w:rPr>
          <w:iCs/>
        </w:rPr>
        <w:t>lan 2023</w:t>
      </w:r>
      <w:r w:rsidR="00040139">
        <w:rPr>
          <w:iCs/>
        </w:rPr>
        <w:t>–</w:t>
      </w:r>
      <w:r w:rsidR="00314B70" w:rsidRPr="00C51C0E">
        <w:rPr>
          <w:iCs/>
        </w:rPr>
        <w:t>2025</w:t>
      </w:r>
      <w:r w:rsidR="00314B70" w:rsidRPr="007A29B7">
        <w:rPr>
          <w:i/>
          <w:iCs/>
        </w:rPr>
        <w:t xml:space="preserve"> </w:t>
      </w:r>
      <w:r w:rsidR="00314B70">
        <w:t>to ensure</w:t>
      </w:r>
      <w:r w:rsidR="00E60B01">
        <w:t xml:space="preserve"> the sector continues to foster safe and respectful workplaces for LGBTIQ+</w:t>
      </w:r>
      <w:r w:rsidR="00D0563A">
        <w:t xml:space="preserve"> employees</w:t>
      </w:r>
      <w:r w:rsidR="006D0124">
        <w:t>.</w:t>
      </w:r>
    </w:p>
    <w:p w14:paraId="3DF96D14" w14:textId="5E7ABD37" w:rsidR="00D0563A" w:rsidRPr="006B1D1C" w:rsidRDefault="00D36666" w:rsidP="001A2B74">
      <w:pPr>
        <w:pStyle w:val="Dotpoint-Underletter"/>
      </w:pPr>
      <w:r>
        <w:t>C</w:t>
      </w:r>
      <w:r w:rsidR="00D0563A">
        <w:t xml:space="preserve">ontinued to lead a multi-agency group </w:t>
      </w:r>
      <w:r>
        <w:t xml:space="preserve">focused </w:t>
      </w:r>
      <w:r w:rsidR="00D0563A">
        <w:t>on implementing the public sector workplace response to domestic and family violence (DFV)</w:t>
      </w:r>
      <w:r>
        <w:t>.</w:t>
      </w:r>
    </w:p>
    <w:p w14:paraId="7A09E5A7" w14:textId="25B9BD4D" w:rsidR="0055417B" w:rsidRPr="006B1D1C" w:rsidRDefault="00D36666" w:rsidP="001A2B74">
      <w:pPr>
        <w:pStyle w:val="Dotpoint-Underletter"/>
      </w:pPr>
      <w:r>
        <w:t>C</w:t>
      </w:r>
      <w:r w:rsidR="0055417B">
        <w:t xml:space="preserve">ontinued to work with Challenge DV to deliver Recognise, Respond, </w:t>
      </w:r>
      <w:bookmarkStart w:id="155" w:name="_Int_BDhbchHQ"/>
      <w:proofErr w:type="gramStart"/>
      <w:r w:rsidR="0055417B">
        <w:t>Refer</w:t>
      </w:r>
      <w:bookmarkEnd w:id="155"/>
      <w:proofErr w:type="gramEnd"/>
      <w:r w:rsidR="0055417B">
        <w:t xml:space="preserve"> e-learning</w:t>
      </w:r>
      <w:r w:rsidR="00DF18EB">
        <w:t xml:space="preserve"> program to ensure Queensland public sector employees have the necessary knowledge and capability to respond to employees affected by DFV</w:t>
      </w:r>
      <w:r w:rsidR="00BC2762">
        <w:t>.</w:t>
      </w:r>
    </w:p>
    <w:p w14:paraId="7FAB48D2" w14:textId="619FF00A" w:rsidR="00DF18EB" w:rsidRPr="006B1D1C" w:rsidRDefault="00BC2762" w:rsidP="001A2B74">
      <w:pPr>
        <w:pStyle w:val="Dotpoint-Underletter"/>
      </w:pPr>
      <w:r>
        <w:t>P</w:t>
      </w:r>
      <w:r w:rsidR="00DF18EB">
        <w:t xml:space="preserve">romoted resources, </w:t>
      </w:r>
      <w:proofErr w:type="gramStart"/>
      <w:r w:rsidR="00DF18EB">
        <w:t>programs</w:t>
      </w:r>
      <w:proofErr w:type="gramEnd"/>
      <w:r w:rsidR="00DF18EB">
        <w:t xml:space="preserve"> and ini</w:t>
      </w:r>
      <w:r w:rsidR="004552D6">
        <w:t>tiatives</w:t>
      </w:r>
      <w:r w:rsidR="000E68DB">
        <w:t xml:space="preserve"> to support awareness of responsibilities in managing the risks of psychosocial hazards in the workplace</w:t>
      </w:r>
      <w:r>
        <w:t>.</w:t>
      </w:r>
    </w:p>
    <w:p w14:paraId="39FDF971" w14:textId="0179E4A3" w:rsidR="000E68DB" w:rsidRDefault="00BC2762" w:rsidP="001A2B74">
      <w:pPr>
        <w:pStyle w:val="Dotpoint-Underletter"/>
      </w:pPr>
      <w:r>
        <w:t>S</w:t>
      </w:r>
      <w:r w:rsidR="000E68DB">
        <w:t xml:space="preserve">trengthened relationships with </w:t>
      </w:r>
      <w:r w:rsidR="00066643">
        <w:t>OIR</w:t>
      </w:r>
      <w:r w:rsidR="00FC6CD3">
        <w:t xml:space="preserve">, Health and Wellbeing Queensland and </w:t>
      </w:r>
      <w:r w:rsidR="24FB039A">
        <w:t xml:space="preserve">the </w:t>
      </w:r>
      <w:r w:rsidR="00FC6CD3">
        <w:t>Queensland Men</w:t>
      </w:r>
      <w:r w:rsidR="00026327">
        <w:t>tal Health Commission through communities of practice</w:t>
      </w:r>
      <w:r w:rsidR="006E1BC9">
        <w:t xml:space="preserve"> to share knowledge and resources in health, </w:t>
      </w:r>
      <w:proofErr w:type="gramStart"/>
      <w:r w:rsidR="006E1BC9">
        <w:t>safety</w:t>
      </w:r>
      <w:proofErr w:type="gramEnd"/>
      <w:r w:rsidR="006E1BC9">
        <w:t xml:space="preserve"> and wellbeing. </w:t>
      </w:r>
    </w:p>
    <w:p w14:paraId="5C3B51C1" w14:textId="20A468BA" w:rsidR="00237FF8" w:rsidRDefault="00237FF8" w:rsidP="001A2B74">
      <w:pPr>
        <w:pStyle w:val="Dotpoint-Underletter"/>
      </w:pPr>
      <w:r>
        <w:t xml:space="preserve">Provided support and advice through the Aboriginal and Torres Strait Islander career pathways service to enable sector-wide culturally appropriate recruitment and selection processes, and to strengthen the cultural capability of the sector. </w:t>
      </w:r>
    </w:p>
    <w:p w14:paraId="6ABC38A5" w14:textId="20A468BA" w:rsidR="00237FF8" w:rsidRDefault="00237FF8" w:rsidP="001A2B74">
      <w:pPr>
        <w:pStyle w:val="Dotpoint-Underletter"/>
      </w:pPr>
      <w:r>
        <w:t xml:space="preserve">Facilitated targeted recruitment through the Aboriginal and Torres Strait Islander career pathways job and mobility pool. </w:t>
      </w:r>
    </w:p>
    <w:p w14:paraId="51D6027C" w14:textId="20A468BA" w:rsidR="00237FF8" w:rsidRDefault="00237FF8" w:rsidP="001A2B74">
      <w:pPr>
        <w:pStyle w:val="Dotpoint-Underletter"/>
      </w:pPr>
      <w:r>
        <w:t>Supported the development of culturally safe workplaces by providing culturally supportive resources and tools, leadership content and self-assessment tools to measure cultural capability.</w:t>
      </w:r>
    </w:p>
    <w:p w14:paraId="1A2A2225" w14:textId="20A468BA" w:rsidR="00237FF8" w:rsidRDefault="00237FF8" w:rsidP="001A2B74">
      <w:pPr>
        <w:pStyle w:val="Dotpoint-Underletter"/>
      </w:pPr>
      <w:r>
        <w:t>Engaged with the National Public Sector Commission’s cross-jurisdictional working group to support First Nations employment outcomes and cultural capability.</w:t>
      </w:r>
    </w:p>
    <w:p w14:paraId="5D6CA9C6" w14:textId="4F4C069F" w:rsidR="00237FF8" w:rsidRDefault="00237FF8" w:rsidP="001A2B74">
      <w:pPr>
        <w:pStyle w:val="Dotpoint-Underletter"/>
      </w:pPr>
      <w:r>
        <w:t xml:space="preserve">Partnered with the Chief Executives Leadership Board and the Integrity Reform Steering Committee to establish the scope of a </w:t>
      </w:r>
      <w:r w:rsidR="00B1455A">
        <w:t>five-year</w:t>
      </w:r>
      <w:r>
        <w:t xml:space="preserve"> program of public sector reform</w:t>
      </w:r>
      <w:r w:rsidR="36A1DA49">
        <w:t xml:space="preserve"> and commenced engagement on the development of a strategy</w:t>
      </w:r>
      <w:r>
        <w:t>.</w:t>
      </w:r>
    </w:p>
    <w:p w14:paraId="2A4DA4D9" w14:textId="609C4905" w:rsidR="00237FF8" w:rsidRPr="001C6C50" w:rsidRDefault="7CDF4572" w:rsidP="001A2B74">
      <w:pPr>
        <w:pStyle w:val="Dotpoint-Underletter"/>
      </w:pPr>
      <w:r w:rsidRPr="007A29B7">
        <w:t xml:space="preserve">Progressed work to improve </w:t>
      </w:r>
      <w:r w:rsidR="00C00F81" w:rsidRPr="007A29B7">
        <w:t>management of</w:t>
      </w:r>
      <w:r w:rsidRPr="007A29B7">
        <w:t xml:space="preserve"> sexual harassment complaints by working with stakeholders to require standalone workplace sexual harassment policies </w:t>
      </w:r>
      <w:r w:rsidR="00C00F81" w:rsidRPr="007A29B7">
        <w:t>that</w:t>
      </w:r>
      <w:r w:rsidRPr="007A29B7">
        <w:t xml:space="preserve"> ensure avenues of complaint are clear, </w:t>
      </w:r>
      <w:proofErr w:type="gramStart"/>
      <w:r w:rsidRPr="007A29B7">
        <w:t>consistent</w:t>
      </w:r>
      <w:proofErr w:type="gramEnd"/>
      <w:r w:rsidRPr="007A29B7">
        <w:t xml:space="preserve"> and person-centred.</w:t>
      </w:r>
    </w:p>
    <w:p w14:paraId="4C367C75" w14:textId="77777777" w:rsidR="001C6C50" w:rsidRDefault="001C6C50" w:rsidP="00687307">
      <w:pPr>
        <w:pStyle w:val="PSCHeading1"/>
      </w:pPr>
      <w:bookmarkStart w:id="156" w:name="_Toc1663452973"/>
      <w:bookmarkStart w:id="157" w:name="_Toc141342846"/>
      <w:bookmarkStart w:id="158" w:name="_Toc141781796"/>
      <w:bookmarkStart w:id="159" w:name="_Toc141781958"/>
      <w:r>
        <w:br w:type="page"/>
      </w:r>
    </w:p>
    <w:p w14:paraId="30F4E9C1" w14:textId="3E37D2E5" w:rsidR="001C6C50" w:rsidRDefault="001C6C50" w:rsidP="00687307">
      <w:pPr>
        <w:pStyle w:val="PSCHeading1"/>
      </w:pPr>
      <w:bookmarkStart w:id="160" w:name="_Toc145926907"/>
      <w:r w:rsidRPr="007A29B7">
        <w:lastRenderedPageBreak/>
        <w:t>Service delivery statements</w:t>
      </w:r>
      <w:bookmarkEnd w:id="160"/>
    </w:p>
    <w:tbl>
      <w:tblPr>
        <w:tblStyle w:val="List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783"/>
        <w:gridCol w:w="1590"/>
        <w:gridCol w:w="1590"/>
      </w:tblGrid>
      <w:tr w:rsidR="00554BF5" w:rsidRPr="00554BF5" w14:paraId="530EADF2" w14:textId="77777777" w:rsidTr="15DF2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0EDEC7D" w14:textId="3CDC0AF1" w:rsidR="00554BF5" w:rsidRPr="00E50878" w:rsidRDefault="00554BF5" w:rsidP="00230EE3">
            <w:pPr>
              <w:spacing w:before="120" w:after="120"/>
              <w:rPr>
                <w:b w:val="0"/>
                <w:bCs w:val="0"/>
                <w:color w:val="FFFFFF" w:themeColor="background1"/>
                <w:sz w:val="18"/>
                <w:szCs w:val="20"/>
              </w:rPr>
            </w:pPr>
            <w:bookmarkStart w:id="161" w:name="_Hlk78284263"/>
            <w:bookmarkEnd w:id="154"/>
            <w:bookmarkEnd w:id="156"/>
            <w:bookmarkEnd w:id="157"/>
            <w:bookmarkEnd w:id="158"/>
            <w:bookmarkEnd w:id="159"/>
            <w:r w:rsidRPr="00E50878">
              <w:rPr>
                <w:color w:val="FFFFFF" w:themeColor="background1"/>
                <w:sz w:val="18"/>
                <w:szCs w:val="20"/>
              </w:rPr>
              <w:t>Public Se</w:t>
            </w:r>
            <w:r w:rsidR="007475FD" w:rsidRPr="00E50878">
              <w:rPr>
                <w:color w:val="FFFFFF" w:themeColor="background1"/>
                <w:sz w:val="18"/>
                <w:szCs w:val="20"/>
              </w:rPr>
              <w:t>ctor</w:t>
            </w:r>
            <w:r w:rsidRPr="00E50878">
              <w:rPr>
                <w:color w:val="FFFFFF" w:themeColor="background1"/>
                <w:sz w:val="18"/>
                <w:szCs w:val="20"/>
              </w:rPr>
              <w:t xml:space="preserve"> Commission</w:t>
            </w:r>
          </w:p>
        </w:tc>
        <w:tc>
          <w:tcPr>
            <w:tcW w:w="783" w:type="dxa"/>
          </w:tcPr>
          <w:p w14:paraId="329639DF" w14:textId="77777777" w:rsidR="00554BF5" w:rsidRPr="00E50878" w:rsidRDefault="00554BF5" w:rsidP="002548ED">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rPr>
            </w:pPr>
            <w:r w:rsidRPr="00E50878">
              <w:rPr>
                <w:color w:val="FFFFFF" w:themeColor="background1"/>
                <w:sz w:val="18"/>
                <w:szCs w:val="20"/>
              </w:rPr>
              <w:t>Notes</w:t>
            </w:r>
          </w:p>
        </w:tc>
        <w:tc>
          <w:tcPr>
            <w:tcW w:w="1590" w:type="dxa"/>
          </w:tcPr>
          <w:p w14:paraId="4836FE45" w14:textId="464D2CC2" w:rsidR="00554BF5" w:rsidRPr="00E50878" w:rsidRDefault="00554BF5" w:rsidP="002548ED">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rPr>
            </w:pPr>
            <w:r w:rsidRPr="00E50878">
              <w:rPr>
                <w:color w:val="FFFFFF" w:themeColor="background1"/>
                <w:sz w:val="18"/>
                <w:szCs w:val="20"/>
              </w:rPr>
              <w:t>202</w:t>
            </w:r>
            <w:r w:rsidR="00514962" w:rsidRPr="00E50878">
              <w:rPr>
                <w:color w:val="FFFFFF" w:themeColor="background1"/>
                <w:sz w:val="18"/>
                <w:szCs w:val="20"/>
              </w:rPr>
              <w:t>2</w:t>
            </w:r>
            <w:r w:rsidRPr="00E50878">
              <w:rPr>
                <w:color w:val="FFFFFF" w:themeColor="background1"/>
                <w:sz w:val="18"/>
                <w:szCs w:val="20"/>
              </w:rPr>
              <w:t>–2</w:t>
            </w:r>
            <w:r w:rsidR="00514962" w:rsidRPr="00E50878">
              <w:rPr>
                <w:color w:val="FFFFFF" w:themeColor="background1"/>
                <w:sz w:val="18"/>
                <w:szCs w:val="20"/>
              </w:rPr>
              <w:t>3</w:t>
            </w:r>
          </w:p>
          <w:p w14:paraId="00C58A3E" w14:textId="77777777" w:rsidR="00554BF5" w:rsidRPr="00E50878" w:rsidRDefault="00554BF5" w:rsidP="002548ED">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rPr>
            </w:pPr>
            <w:r w:rsidRPr="00E50878">
              <w:rPr>
                <w:color w:val="FFFFFF" w:themeColor="background1"/>
                <w:sz w:val="18"/>
                <w:szCs w:val="20"/>
              </w:rPr>
              <w:t>target/estimate</w:t>
            </w:r>
          </w:p>
        </w:tc>
        <w:tc>
          <w:tcPr>
            <w:tcW w:w="1590" w:type="dxa"/>
          </w:tcPr>
          <w:p w14:paraId="35551297" w14:textId="62BDC4EB" w:rsidR="00554BF5" w:rsidRPr="00E50878" w:rsidRDefault="00554BF5" w:rsidP="002548ED">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rPr>
            </w:pPr>
            <w:r w:rsidRPr="00E50878">
              <w:rPr>
                <w:color w:val="FFFFFF" w:themeColor="background1"/>
                <w:sz w:val="18"/>
                <w:szCs w:val="20"/>
              </w:rPr>
              <w:t>202</w:t>
            </w:r>
            <w:r w:rsidR="00514962" w:rsidRPr="00E50878">
              <w:rPr>
                <w:color w:val="FFFFFF" w:themeColor="background1"/>
                <w:sz w:val="18"/>
                <w:szCs w:val="20"/>
              </w:rPr>
              <w:t>2</w:t>
            </w:r>
            <w:r w:rsidRPr="00E50878">
              <w:rPr>
                <w:color w:val="FFFFFF" w:themeColor="background1"/>
                <w:sz w:val="18"/>
                <w:szCs w:val="20"/>
              </w:rPr>
              <w:t>–2</w:t>
            </w:r>
            <w:r w:rsidR="00514962" w:rsidRPr="00E50878">
              <w:rPr>
                <w:color w:val="FFFFFF" w:themeColor="background1"/>
                <w:sz w:val="18"/>
                <w:szCs w:val="20"/>
              </w:rPr>
              <w:t>3</w:t>
            </w:r>
          </w:p>
          <w:p w14:paraId="1BB6E8D3" w14:textId="408F4704" w:rsidR="00554BF5" w:rsidRPr="00E50878" w:rsidRDefault="00554BF5" w:rsidP="002548ED">
            <w:pPr>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20"/>
              </w:rPr>
            </w:pPr>
            <w:r w:rsidRPr="00E50878">
              <w:rPr>
                <w:color w:val="FFFFFF" w:themeColor="background1"/>
                <w:sz w:val="18"/>
                <w:szCs w:val="20"/>
              </w:rPr>
              <w:t>actual</w:t>
            </w:r>
          </w:p>
        </w:tc>
      </w:tr>
      <w:tr w:rsidR="00554BF5" w:rsidRPr="00554BF5" w14:paraId="677555E6" w14:textId="77777777" w:rsidTr="15DF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14:paraId="75340373" w14:textId="77777777" w:rsidR="00554BF5" w:rsidRPr="00684E33" w:rsidRDefault="00554BF5" w:rsidP="002548ED">
            <w:pPr>
              <w:spacing w:before="120" w:after="120"/>
              <w:rPr>
                <w:sz w:val="18"/>
                <w:szCs w:val="20"/>
              </w:rPr>
            </w:pPr>
            <w:r w:rsidRPr="00684E33">
              <w:rPr>
                <w:sz w:val="18"/>
                <w:szCs w:val="20"/>
              </w:rPr>
              <w:t>Service area: Provision of services for a high-performing public sector</w:t>
            </w:r>
          </w:p>
        </w:tc>
      </w:tr>
      <w:tr w:rsidR="00554BF5" w:rsidRPr="00554BF5" w14:paraId="0B10DE99" w14:textId="77777777" w:rsidTr="15DF2B90">
        <w:tc>
          <w:tcPr>
            <w:cnfStyle w:val="001000000000" w:firstRow="0" w:lastRow="0" w:firstColumn="1" w:lastColumn="0" w:oddVBand="0" w:evenVBand="0" w:oddHBand="0" w:evenHBand="0" w:firstRowFirstColumn="0" w:firstRowLastColumn="0" w:lastRowFirstColumn="0" w:lastRowLastColumn="0"/>
            <w:tcW w:w="5665" w:type="dxa"/>
          </w:tcPr>
          <w:p w14:paraId="4C3AE46D" w14:textId="009CB6C6" w:rsidR="00554BF5" w:rsidRPr="00D23173" w:rsidRDefault="00554BF5" w:rsidP="001162BC">
            <w:pPr>
              <w:spacing w:before="120" w:after="120"/>
              <w:rPr>
                <w:bCs w:val="0"/>
                <w:sz w:val="18"/>
                <w:szCs w:val="20"/>
              </w:rPr>
            </w:pPr>
            <w:r w:rsidRPr="00684E33">
              <w:rPr>
                <w:i/>
                <w:sz w:val="18"/>
                <w:szCs w:val="20"/>
              </w:rPr>
              <w:t>Effectiveness measure</w:t>
            </w:r>
            <w:r w:rsidR="001162BC" w:rsidRPr="00684E33">
              <w:rPr>
                <w:i/>
                <w:sz w:val="18"/>
                <w:szCs w:val="20"/>
              </w:rPr>
              <w:br/>
            </w:r>
            <w:r w:rsidRPr="00684E33">
              <w:rPr>
                <w:sz w:val="18"/>
                <w:szCs w:val="20"/>
              </w:rPr>
              <w:t>Overall participant satisfaction with Commission leadership development offerings</w:t>
            </w:r>
          </w:p>
        </w:tc>
        <w:tc>
          <w:tcPr>
            <w:tcW w:w="783" w:type="dxa"/>
          </w:tcPr>
          <w:p w14:paraId="0A59FE32" w14:textId="01C67D0F" w:rsidR="00554BF5" w:rsidRPr="00D23173" w:rsidRDefault="00554BF5" w:rsidP="005E6355">
            <w:pPr>
              <w:spacing w:before="120" w:after="120"/>
              <w:cnfStyle w:val="000000000000" w:firstRow="0" w:lastRow="0" w:firstColumn="0" w:lastColumn="0" w:oddVBand="0" w:evenVBand="0" w:oddHBand="0" w:evenHBand="0" w:firstRowFirstColumn="0" w:firstRowLastColumn="0" w:lastRowFirstColumn="0" w:lastRowLastColumn="0"/>
              <w:rPr>
                <w:b/>
                <w:sz w:val="18"/>
                <w:szCs w:val="18"/>
              </w:rPr>
            </w:pPr>
          </w:p>
        </w:tc>
        <w:tc>
          <w:tcPr>
            <w:tcW w:w="1590" w:type="dxa"/>
          </w:tcPr>
          <w:p w14:paraId="39797A6A" w14:textId="47FCA775" w:rsidR="00554BF5" w:rsidRPr="00D23173" w:rsidRDefault="4A7B6D5C" w:rsidP="002548ED">
            <w:pPr>
              <w:spacing w:before="120" w:after="120"/>
              <w:cnfStyle w:val="000000000000" w:firstRow="0" w:lastRow="0" w:firstColumn="0" w:lastColumn="0" w:oddVBand="0" w:evenVBand="0" w:oddHBand="0" w:evenHBand="0" w:firstRowFirstColumn="0" w:firstRowLastColumn="0" w:lastRowFirstColumn="0" w:lastRowLastColumn="0"/>
              <w:rPr>
                <w:b/>
                <w:sz w:val="18"/>
                <w:szCs w:val="18"/>
              </w:rPr>
            </w:pPr>
            <w:r w:rsidRPr="00D23173">
              <w:rPr>
                <w:b/>
                <w:sz w:val="18"/>
                <w:szCs w:val="18"/>
              </w:rPr>
              <w:t>85%</w:t>
            </w:r>
          </w:p>
        </w:tc>
        <w:tc>
          <w:tcPr>
            <w:tcW w:w="1590" w:type="dxa"/>
          </w:tcPr>
          <w:p w14:paraId="0459FB78" w14:textId="5825B185" w:rsidR="00554BF5" w:rsidRPr="00D23173" w:rsidRDefault="4A7B6D5C" w:rsidP="002548ED">
            <w:pPr>
              <w:spacing w:before="120" w:after="120"/>
              <w:cnfStyle w:val="000000000000" w:firstRow="0" w:lastRow="0" w:firstColumn="0" w:lastColumn="0" w:oddVBand="0" w:evenVBand="0" w:oddHBand="0" w:evenHBand="0" w:firstRowFirstColumn="0" w:firstRowLastColumn="0" w:lastRowFirstColumn="0" w:lastRowLastColumn="0"/>
              <w:rPr>
                <w:b/>
                <w:sz w:val="18"/>
                <w:szCs w:val="18"/>
              </w:rPr>
            </w:pPr>
            <w:r w:rsidRPr="00D23173">
              <w:rPr>
                <w:b/>
                <w:sz w:val="18"/>
                <w:szCs w:val="18"/>
              </w:rPr>
              <w:t>91%</w:t>
            </w:r>
          </w:p>
        </w:tc>
      </w:tr>
      <w:tr w:rsidR="00554BF5" w:rsidRPr="00554BF5" w14:paraId="09D29917" w14:textId="77777777" w:rsidTr="15DF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761183F" w14:textId="3B6B4BCD" w:rsidR="00554BF5" w:rsidRPr="000D2E6A" w:rsidRDefault="00554BF5" w:rsidP="001162BC">
            <w:pPr>
              <w:spacing w:before="120" w:after="120"/>
              <w:rPr>
                <w:b w:val="0"/>
                <w:bCs w:val="0"/>
                <w:sz w:val="18"/>
                <w:szCs w:val="20"/>
              </w:rPr>
            </w:pPr>
            <w:r w:rsidRPr="00554BF5">
              <w:rPr>
                <w:i/>
                <w:sz w:val="18"/>
                <w:szCs w:val="20"/>
              </w:rPr>
              <w:t>Effectiveness measure</w:t>
            </w:r>
            <w:r w:rsidR="001162BC">
              <w:rPr>
                <w:i/>
                <w:sz w:val="18"/>
                <w:szCs w:val="20"/>
              </w:rPr>
              <w:br/>
            </w:r>
            <w:r w:rsidRPr="000D2E6A">
              <w:rPr>
                <w:b w:val="0"/>
                <w:bCs w:val="0"/>
                <w:sz w:val="18"/>
                <w:szCs w:val="20"/>
              </w:rPr>
              <w:t>Client satisfaction with specialist workforce services advice</w:t>
            </w:r>
          </w:p>
        </w:tc>
        <w:tc>
          <w:tcPr>
            <w:tcW w:w="783" w:type="dxa"/>
          </w:tcPr>
          <w:p w14:paraId="32EBD35F" w14:textId="4BD200ED" w:rsidR="00554BF5" w:rsidRPr="00554BF5" w:rsidRDefault="4DA79C01" w:rsidP="00D23173">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49AD081B">
              <w:rPr>
                <w:sz w:val="18"/>
                <w:szCs w:val="18"/>
              </w:rPr>
              <w:t>1</w:t>
            </w:r>
          </w:p>
        </w:tc>
        <w:tc>
          <w:tcPr>
            <w:tcW w:w="1590" w:type="dxa"/>
          </w:tcPr>
          <w:p w14:paraId="1C18BCFB" w14:textId="2FC9F511" w:rsidR="00554BF5" w:rsidRPr="004B57DF" w:rsidRDefault="30347659" w:rsidP="002548ED">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49AD081B">
              <w:rPr>
                <w:sz w:val="18"/>
                <w:szCs w:val="18"/>
              </w:rPr>
              <w:t>85%</w:t>
            </w:r>
          </w:p>
        </w:tc>
        <w:tc>
          <w:tcPr>
            <w:tcW w:w="1590" w:type="dxa"/>
          </w:tcPr>
          <w:p w14:paraId="7C169803" w14:textId="72AE51B5" w:rsidR="00554BF5" w:rsidRPr="004B57DF" w:rsidRDefault="30347659" w:rsidP="47BA5B75">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49AD081B">
              <w:rPr>
                <w:sz w:val="18"/>
                <w:szCs w:val="18"/>
              </w:rPr>
              <w:t>53%</w:t>
            </w:r>
          </w:p>
        </w:tc>
      </w:tr>
      <w:tr w:rsidR="00554BF5" w:rsidRPr="00554BF5" w14:paraId="46A4EEF4" w14:textId="77777777" w:rsidTr="15DF2B90">
        <w:tc>
          <w:tcPr>
            <w:cnfStyle w:val="001000000000" w:firstRow="0" w:lastRow="0" w:firstColumn="1" w:lastColumn="0" w:oddVBand="0" w:evenVBand="0" w:oddHBand="0" w:evenHBand="0" w:firstRowFirstColumn="0" w:firstRowLastColumn="0" w:lastRowFirstColumn="0" w:lastRowLastColumn="0"/>
            <w:tcW w:w="5665" w:type="dxa"/>
          </w:tcPr>
          <w:p w14:paraId="2CE61CCF" w14:textId="4C6F401B" w:rsidR="49BF3F54" w:rsidRDefault="49BF3F54" w:rsidP="49BF3F54">
            <w:pPr>
              <w:spacing w:before="120" w:after="120"/>
              <w:rPr>
                <w:b w:val="0"/>
                <w:bCs w:val="0"/>
                <w:sz w:val="18"/>
                <w:szCs w:val="18"/>
              </w:rPr>
            </w:pPr>
            <w:r w:rsidRPr="49BF3F54">
              <w:rPr>
                <w:i/>
                <w:iCs/>
                <w:sz w:val="18"/>
                <w:szCs w:val="18"/>
              </w:rPr>
              <w:t>Effectiveness measure</w:t>
            </w:r>
          </w:p>
          <w:p w14:paraId="6F47AD57" w14:textId="77777777" w:rsidR="00554BF5" w:rsidRPr="00554BF5" w:rsidRDefault="00554BF5" w:rsidP="00230EE3">
            <w:pPr>
              <w:spacing w:before="120" w:after="120"/>
              <w:rPr>
                <w:b w:val="0"/>
                <w:i/>
                <w:sz w:val="18"/>
                <w:szCs w:val="18"/>
              </w:rPr>
            </w:pPr>
            <w:r w:rsidRPr="49BF3F54">
              <w:rPr>
                <w:b w:val="0"/>
                <w:sz w:val="18"/>
                <w:szCs w:val="18"/>
              </w:rPr>
              <w:t>Overall stakeholder satisfaction with the Commission’s role in providing services for a high performing public service</w:t>
            </w:r>
          </w:p>
        </w:tc>
        <w:tc>
          <w:tcPr>
            <w:tcW w:w="783" w:type="dxa"/>
          </w:tcPr>
          <w:p w14:paraId="2BD1E655" w14:textId="74F728EC" w:rsidR="00554BF5" w:rsidRPr="00554BF5" w:rsidRDefault="3D0253EF" w:rsidP="005E6355">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49AD081B">
              <w:rPr>
                <w:sz w:val="18"/>
                <w:szCs w:val="18"/>
              </w:rPr>
              <w:t>1</w:t>
            </w:r>
          </w:p>
        </w:tc>
        <w:tc>
          <w:tcPr>
            <w:tcW w:w="1590" w:type="dxa"/>
          </w:tcPr>
          <w:p w14:paraId="2E7E0AF2" w14:textId="0646016E" w:rsidR="00554BF5" w:rsidRPr="004B57DF" w:rsidRDefault="75DBD34A" w:rsidP="002548ED">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49AD081B">
              <w:rPr>
                <w:sz w:val="18"/>
                <w:szCs w:val="18"/>
              </w:rPr>
              <w:t>85%</w:t>
            </w:r>
          </w:p>
        </w:tc>
        <w:tc>
          <w:tcPr>
            <w:tcW w:w="1590" w:type="dxa"/>
          </w:tcPr>
          <w:p w14:paraId="3476A501" w14:textId="13598C2C" w:rsidR="00554BF5" w:rsidRPr="004B57DF" w:rsidRDefault="75DBD34A" w:rsidP="002548ED">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49AD081B">
              <w:rPr>
                <w:sz w:val="18"/>
                <w:szCs w:val="18"/>
              </w:rPr>
              <w:t>71%</w:t>
            </w:r>
          </w:p>
        </w:tc>
      </w:tr>
      <w:tr w:rsidR="00554BF5" w:rsidRPr="00554BF5" w14:paraId="6981318F" w14:textId="77777777" w:rsidTr="15DF2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0F4E9FC" w14:textId="40E1721E" w:rsidR="00554BF5" w:rsidRPr="000D2E6A" w:rsidRDefault="00554BF5" w:rsidP="001162BC">
            <w:pPr>
              <w:spacing w:before="120" w:after="120"/>
              <w:rPr>
                <w:b w:val="0"/>
                <w:bCs w:val="0"/>
                <w:sz w:val="18"/>
                <w:szCs w:val="20"/>
              </w:rPr>
            </w:pPr>
            <w:r w:rsidRPr="00554BF5">
              <w:rPr>
                <w:i/>
                <w:sz w:val="18"/>
                <w:szCs w:val="20"/>
              </w:rPr>
              <w:t>Efficiency measure</w:t>
            </w:r>
            <w:r w:rsidR="001162BC">
              <w:rPr>
                <w:i/>
                <w:sz w:val="18"/>
                <w:szCs w:val="20"/>
              </w:rPr>
              <w:br/>
            </w:r>
            <w:r w:rsidRPr="000D2E6A">
              <w:rPr>
                <w:b w:val="0"/>
                <w:bCs w:val="0"/>
                <w:sz w:val="18"/>
                <w:szCs w:val="20"/>
              </w:rPr>
              <w:t>Cost per participant at Commission leadership development offerings</w:t>
            </w:r>
          </w:p>
        </w:tc>
        <w:tc>
          <w:tcPr>
            <w:tcW w:w="783" w:type="dxa"/>
          </w:tcPr>
          <w:p w14:paraId="6EC12B88" w14:textId="1D3DD5AC" w:rsidR="00554BF5" w:rsidRPr="00554BF5" w:rsidRDefault="00554BF5" w:rsidP="005E6355">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590" w:type="dxa"/>
          </w:tcPr>
          <w:p w14:paraId="03AFE916" w14:textId="36862F78" w:rsidR="00554BF5" w:rsidRPr="004B57DF" w:rsidRDefault="332E15A7" w:rsidP="002548ED">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49AD081B">
              <w:rPr>
                <w:sz w:val="18"/>
                <w:szCs w:val="18"/>
              </w:rPr>
              <w:t>$250</w:t>
            </w:r>
          </w:p>
        </w:tc>
        <w:tc>
          <w:tcPr>
            <w:tcW w:w="1590" w:type="dxa"/>
          </w:tcPr>
          <w:p w14:paraId="0E8D9B08" w14:textId="69D24984" w:rsidR="00554BF5" w:rsidRPr="004B57DF" w:rsidRDefault="332E15A7" w:rsidP="002548ED">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49AD081B">
              <w:rPr>
                <w:sz w:val="18"/>
                <w:szCs w:val="18"/>
              </w:rPr>
              <w:t>$98</w:t>
            </w:r>
          </w:p>
        </w:tc>
      </w:tr>
      <w:tr w:rsidR="00554BF5" w:rsidRPr="00554BF5" w14:paraId="43989703" w14:textId="77777777" w:rsidTr="15DF2B90">
        <w:tc>
          <w:tcPr>
            <w:cnfStyle w:val="001000000000" w:firstRow="0" w:lastRow="0" w:firstColumn="1" w:lastColumn="0" w:oddVBand="0" w:evenVBand="0" w:oddHBand="0" w:evenHBand="0" w:firstRowFirstColumn="0" w:firstRowLastColumn="0" w:lastRowFirstColumn="0" w:lastRowLastColumn="0"/>
            <w:tcW w:w="5665" w:type="dxa"/>
          </w:tcPr>
          <w:p w14:paraId="56C7B865" w14:textId="2AB07E67" w:rsidR="00554BF5" w:rsidRPr="000D2E6A" w:rsidRDefault="00554BF5" w:rsidP="001162BC">
            <w:pPr>
              <w:spacing w:before="120" w:after="120"/>
              <w:rPr>
                <w:b w:val="0"/>
                <w:bCs w:val="0"/>
                <w:sz w:val="18"/>
                <w:szCs w:val="18"/>
              </w:rPr>
            </w:pPr>
            <w:r w:rsidRPr="15DF2B90">
              <w:rPr>
                <w:i/>
                <w:iCs/>
                <w:sz w:val="18"/>
                <w:szCs w:val="18"/>
              </w:rPr>
              <w:t>Efficiency measure</w:t>
            </w:r>
            <w:r>
              <w:br/>
            </w:r>
            <w:r w:rsidRPr="15DF2B90">
              <w:rPr>
                <w:b w:val="0"/>
                <w:bCs w:val="0"/>
                <w:sz w:val="18"/>
                <w:szCs w:val="18"/>
              </w:rPr>
              <w:t xml:space="preserve">Cost per employee of conducting annual </w:t>
            </w:r>
            <w:r w:rsidR="09E1488F" w:rsidRPr="15DF2B90">
              <w:rPr>
                <w:b w:val="0"/>
                <w:bCs w:val="0"/>
                <w:sz w:val="18"/>
                <w:szCs w:val="18"/>
              </w:rPr>
              <w:t xml:space="preserve">sector-wide employment opinion </w:t>
            </w:r>
            <w:r w:rsidRPr="15DF2B90">
              <w:rPr>
                <w:b w:val="0"/>
                <w:bCs w:val="0"/>
                <w:sz w:val="18"/>
                <w:szCs w:val="18"/>
              </w:rPr>
              <w:t>survey</w:t>
            </w:r>
          </w:p>
        </w:tc>
        <w:tc>
          <w:tcPr>
            <w:tcW w:w="783" w:type="dxa"/>
          </w:tcPr>
          <w:p w14:paraId="46F9DC2C" w14:textId="683AF76E" w:rsidR="00554BF5" w:rsidRPr="00554BF5" w:rsidRDefault="00554BF5" w:rsidP="005E6355">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590" w:type="dxa"/>
          </w:tcPr>
          <w:p w14:paraId="7A8069E2" w14:textId="141A12FE" w:rsidR="00554BF5" w:rsidRPr="004B57DF" w:rsidRDefault="480DA184" w:rsidP="002548E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49AD081B">
              <w:rPr>
                <w:sz w:val="18"/>
                <w:szCs w:val="18"/>
              </w:rPr>
              <w:t>$3.00</w:t>
            </w:r>
          </w:p>
        </w:tc>
        <w:tc>
          <w:tcPr>
            <w:tcW w:w="1590" w:type="dxa"/>
          </w:tcPr>
          <w:p w14:paraId="2B6B0481" w14:textId="1BEFC1FD" w:rsidR="00554BF5" w:rsidRPr="004B57DF" w:rsidRDefault="480DA184" w:rsidP="002548ED">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49AD081B">
              <w:rPr>
                <w:sz w:val="18"/>
                <w:szCs w:val="18"/>
              </w:rPr>
              <w:t>$2.69</w:t>
            </w:r>
          </w:p>
        </w:tc>
      </w:tr>
    </w:tbl>
    <w:p w14:paraId="4FE6393D" w14:textId="77777777" w:rsidR="00554BF5" w:rsidRPr="005942F8" w:rsidRDefault="00554BF5">
      <w:pPr>
        <w:spacing w:before="120" w:after="60"/>
        <w:rPr>
          <w:sz w:val="17"/>
          <w:szCs w:val="17"/>
        </w:rPr>
      </w:pPr>
      <w:r w:rsidRPr="005942F8">
        <w:rPr>
          <w:sz w:val="17"/>
          <w:szCs w:val="17"/>
        </w:rPr>
        <w:t>Notes:</w:t>
      </w:r>
    </w:p>
    <w:p w14:paraId="5D37C25B" w14:textId="49E5220A" w:rsidR="00CA7122" w:rsidRPr="001C6C50" w:rsidRDefault="48303B7B" w:rsidP="001C6C50">
      <w:pPr>
        <w:pStyle w:val="Numberedlists"/>
        <w:rPr>
          <w:sz w:val="17"/>
          <w:szCs w:val="17"/>
        </w:rPr>
      </w:pPr>
      <w:r w:rsidRPr="15DF2B90">
        <w:rPr>
          <w:sz w:val="17"/>
          <w:szCs w:val="17"/>
        </w:rPr>
        <w:t xml:space="preserve">Factors that may have contributed to the variance between the 2022–23 Target/Estimate and the 2022–23 Estimated Actual include </w:t>
      </w:r>
      <w:r w:rsidR="00611B99" w:rsidRPr="15DF2B90">
        <w:rPr>
          <w:sz w:val="17"/>
          <w:szCs w:val="17"/>
        </w:rPr>
        <w:t xml:space="preserve">the </w:t>
      </w:r>
      <w:r w:rsidR="633BED6D" w:rsidRPr="15DF2B90">
        <w:rPr>
          <w:sz w:val="17"/>
          <w:szCs w:val="17"/>
        </w:rPr>
        <w:t xml:space="preserve">Public Sector </w:t>
      </w:r>
      <w:r w:rsidR="00611B99" w:rsidRPr="15DF2B90">
        <w:rPr>
          <w:sz w:val="17"/>
          <w:szCs w:val="17"/>
        </w:rPr>
        <w:t>Commission</w:t>
      </w:r>
      <w:r w:rsidRPr="15DF2B90">
        <w:rPr>
          <w:sz w:val="17"/>
          <w:szCs w:val="17"/>
        </w:rPr>
        <w:t xml:space="preserve"> having an increased regulatory role with stakeholders across the sector to action policy positions associated with the response to the COVID-19 pandemic.</w:t>
      </w:r>
    </w:p>
    <w:p w14:paraId="1C51B68E" w14:textId="77777777" w:rsidR="001C6C50" w:rsidRDefault="001C6C50" w:rsidP="00A9740A">
      <w:pPr>
        <w:pStyle w:val="PSCHeading1"/>
      </w:pPr>
      <w:bookmarkStart w:id="162" w:name="_Toc79493361"/>
      <w:bookmarkStart w:id="163" w:name="_Toc1963665926"/>
      <w:bookmarkStart w:id="164" w:name="_Toc141342847"/>
      <w:bookmarkStart w:id="165" w:name="_Toc141781797"/>
      <w:bookmarkStart w:id="166" w:name="_Toc141781959"/>
      <w:bookmarkStart w:id="167" w:name="_Hlk75874130"/>
      <w:bookmarkEnd w:id="161"/>
      <w:r>
        <w:br w:type="page"/>
      </w:r>
    </w:p>
    <w:p w14:paraId="33846FF2" w14:textId="52C9A1D1" w:rsidR="00042389" w:rsidRDefault="00042389" w:rsidP="00A9740A">
      <w:pPr>
        <w:pStyle w:val="PSCHeading1"/>
      </w:pPr>
      <w:bookmarkStart w:id="168" w:name="_Toc145926908"/>
      <w:r>
        <w:lastRenderedPageBreak/>
        <w:t>Future direction</w:t>
      </w:r>
      <w:bookmarkEnd w:id="162"/>
      <w:bookmarkEnd w:id="163"/>
      <w:bookmarkEnd w:id="164"/>
      <w:bookmarkEnd w:id="165"/>
      <w:bookmarkEnd w:id="166"/>
      <w:bookmarkEnd w:id="168"/>
    </w:p>
    <w:p w14:paraId="38174F6B" w14:textId="52D2A385" w:rsidR="00845A0C" w:rsidRDefault="00137DA2" w:rsidP="00886DA2">
      <w:pPr>
        <w:pStyle w:val="PSC-Body"/>
        <w:spacing w:after="0"/>
        <w:rPr>
          <w:rFonts w:eastAsia="MS Mincho" w:cs="Arial"/>
        </w:rPr>
      </w:pPr>
      <w:bookmarkStart w:id="169" w:name="_Hlk75874161"/>
      <w:bookmarkStart w:id="170" w:name="_Hlk73618852"/>
      <w:bookmarkStart w:id="171" w:name="_Hlk108612145"/>
      <w:bookmarkStart w:id="172" w:name="_Hlk108612263"/>
      <w:r>
        <w:t>In 202</w:t>
      </w:r>
      <w:r w:rsidR="00F060B3">
        <w:t>3</w:t>
      </w:r>
      <w:r>
        <w:t>–</w:t>
      </w:r>
      <w:r w:rsidR="00DD73F8">
        <w:t>2</w:t>
      </w:r>
      <w:r w:rsidR="00F060B3">
        <w:t>4</w:t>
      </w:r>
      <w:r w:rsidR="00DD73F8">
        <w:t>,</w:t>
      </w:r>
      <w:r>
        <w:t xml:space="preserve"> t</w:t>
      </w:r>
      <w:r w:rsidR="00A87425">
        <w:t xml:space="preserve">he </w:t>
      </w:r>
      <w:r w:rsidR="005942F8">
        <w:t>Commission</w:t>
      </w:r>
      <w:r>
        <w:t xml:space="preserve"> will</w:t>
      </w:r>
      <w:r w:rsidR="005B6417" w:rsidRPr="41BF1D54">
        <w:rPr>
          <w:rFonts w:eastAsia="MS Mincho" w:cs="Arial"/>
        </w:rPr>
        <w:t xml:space="preserve"> w</w:t>
      </w:r>
      <w:r w:rsidR="00CE52D5" w:rsidRPr="41BF1D54">
        <w:rPr>
          <w:rFonts w:eastAsia="MS Mincho" w:cs="Arial"/>
        </w:rPr>
        <w:t>ork with sector agencies to:</w:t>
      </w:r>
    </w:p>
    <w:p w14:paraId="31ACD12D" w14:textId="517C41E9" w:rsidR="00F63681" w:rsidRDefault="00CD3745" w:rsidP="007D6738">
      <w:pPr>
        <w:pStyle w:val="PSC-Bullets1"/>
      </w:pPr>
      <w:r>
        <w:t xml:space="preserve">develop and implement a 5-year strategy that will focus on our workplace, workforce and work </w:t>
      </w:r>
      <w:r w:rsidR="002813E0">
        <w:t>to</w:t>
      </w:r>
      <w:r>
        <w:t xml:space="preserve"> build an even better public sector for </w:t>
      </w:r>
      <w:proofErr w:type="gramStart"/>
      <w:r>
        <w:t>Queensland</w:t>
      </w:r>
      <w:proofErr w:type="gramEnd"/>
    </w:p>
    <w:p w14:paraId="5E5D7DAE" w14:textId="2C8285AD" w:rsidR="009969D9" w:rsidRPr="00CB0C4B" w:rsidRDefault="009969D9" w:rsidP="007D6738">
      <w:pPr>
        <w:pStyle w:val="PSC-Bullets1"/>
      </w:pPr>
      <w:r w:rsidRPr="00CB0C4B">
        <w:t xml:space="preserve">improve workforce planning to support </w:t>
      </w:r>
      <w:r w:rsidR="00B23A7B">
        <w:t xml:space="preserve">an </w:t>
      </w:r>
      <w:r w:rsidRPr="00CB0C4B">
        <w:t xml:space="preserve">agile and flexible </w:t>
      </w:r>
      <w:proofErr w:type="gramStart"/>
      <w:r w:rsidRPr="00CB0C4B">
        <w:t>workforce</w:t>
      </w:r>
      <w:proofErr w:type="gramEnd"/>
    </w:p>
    <w:p w14:paraId="43AB6197" w14:textId="73486971" w:rsidR="009969D9" w:rsidRPr="00CB0C4B" w:rsidRDefault="009969D9" w:rsidP="007D6738">
      <w:pPr>
        <w:pStyle w:val="PSC-Bullets1"/>
      </w:pPr>
      <w:r w:rsidRPr="00CB0C4B">
        <w:t xml:space="preserve">improve flexibility for public sector workplaces, including frontline </w:t>
      </w:r>
      <w:proofErr w:type="gramStart"/>
      <w:r w:rsidRPr="00CB0C4B">
        <w:t>employees</w:t>
      </w:r>
      <w:proofErr w:type="gramEnd"/>
      <w:r w:rsidRPr="00CB0C4B">
        <w:t xml:space="preserve"> </w:t>
      </w:r>
    </w:p>
    <w:p w14:paraId="20CBAE7B" w14:textId="1903C3FD" w:rsidR="009969D9" w:rsidRPr="00CB0C4B" w:rsidRDefault="009969D9" w:rsidP="007D6738">
      <w:pPr>
        <w:pStyle w:val="PSC-Bullets1"/>
      </w:pPr>
      <w:r w:rsidRPr="00CB0C4B">
        <w:t xml:space="preserve">improve workplace adjustments and reduce barriers to mobility for people with </w:t>
      </w:r>
      <w:proofErr w:type="gramStart"/>
      <w:r w:rsidRPr="00CB0C4B">
        <w:t>disability</w:t>
      </w:r>
      <w:proofErr w:type="gramEnd"/>
    </w:p>
    <w:p w14:paraId="40F1693E" w14:textId="75D804D9" w:rsidR="009969D9" w:rsidRPr="00CB0C4B" w:rsidRDefault="009969D9" w:rsidP="007D6738">
      <w:pPr>
        <w:pStyle w:val="PSC-Bullets1"/>
      </w:pPr>
      <w:r w:rsidRPr="00CB0C4B">
        <w:t>implement contemporary recruitment and selection practices that support the recruitment of a diverse workforce</w:t>
      </w:r>
      <w:r w:rsidR="005E6355" w:rsidRPr="00CB0C4B">
        <w:t>.</w:t>
      </w:r>
    </w:p>
    <w:p w14:paraId="2C8BB17D" w14:textId="252AD1E3" w:rsidR="001D13A3" w:rsidRPr="001D13A3" w:rsidRDefault="00516C39" w:rsidP="00886DA2">
      <w:pPr>
        <w:pStyle w:val="PSC-Body"/>
        <w:spacing w:after="0"/>
      </w:pPr>
      <w:r w:rsidRPr="00CB0C4B">
        <w:t>The Commission will:</w:t>
      </w:r>
    </w:p>
    <w:p w14:paraId="559BA073" w14:textId="3A0FB08A" w:rsidR="00C80A2F" w:rsidRPr="00D616DC" w:rsidRDefault="005E77D0" w:rsidP="00983345">
      <w:pPr>
        <w:pStyle w:val="PSC-Bullets1"/>
      </w:pPr>
      <w:r>
        <w:t>P</w:t>
      </w:r>
      <w:r w:rsidR="1079E3BE">
        <w:t xml:space="preserve">rovide dedicated and focused support to the sector to implement the </w:t>
      </w:r>
      <w:r w:rsidR="0098153E">
        <w:t>Act</w:t>
      </w:r>
      <w:r w:rsidR="00103BBD">
        <w:t>’s</w:t>
      </w:r>
      <w:r w:rsidR="0098153E">
        <w:t xml:space="preserve"> </w:t>
      </w:r>
      <w:r w:rsidR="1079E3BE">
        <w:t>requirements</w:t>
      </w:r>
      <w:r w:rsidR="009E3034">
        <w:t xml:space="preserve"> for </w:t>
      </w:r>
      <w:r w:rsidR="1079E3BE" w:rsidRPr="00C80A2F">
        <w:t>equity, diversity, respect and inclusion</w:t>
      </w:r>
      <w:r w:rsidR="00B649F1">
        <w:t xml:space="preserve">, </w:t>
      </w:r>
      <w:proofErr w:type="gramStart"/>
      <w:r w:rsidR="1079E3BE" w:rsidRPr="00C80A2F">
        <w:t>recruitment</w:t>
      </w:r>
      <w:proofErr w:type="gramEnd"/>
      <w:r w:rsidR="1079E3BE" w:rsidRPr="00C80A2F">
        <w:t xml:space="preserve"> and selection</w:t>
      </w:r>
      <w:r w:rsidR="00103BBD">
        <w:t>,</w:t>
      </w:r>
      <w:r w:rsidR="00B649F1">
        <w:t xml:space="preserve"> and </w:t>
      </w:r>
      <w:r w:rsidR="1079E3BE">
        <w:t xml:space="preserve">reframing the </w:t>
      </w:r>
      <w:r w:rsidR="007E122A">
        <w:t xml:space="preserve">State government’s </w:t>
      </w:r>
      <w:r w:rsidR="1079E3BE">
        <w:t xml:space="preserve">relationship with </w:t>
      </w:r>
      <w:r w:rsidR="00F66393">
        <w:t>Aborig</w:t>
      </w:r>
      <w:r w:rsidR="00C80A2F">
        <w:t>inal people</w:t>
      </w:r>
      <w:r w:rsidR="00D75AD2">
        <w:t>s</w:t>
      </w:r>
      <w:r w:rsidR="00C80A2F">
        <w:t xml:space="preserve"> and Torres Strait Islander peoples</w:t>
      </w:r>
      <w:r>
        <w:t>.</w:t>
      </w:r>
    </w:p>
    <w:p w14:paraId="7B00F90A" w14:textId="41042949" w:rsidR="0098153E" w:rsidRDefault="00171E88" w:rsidP="001D13A3">
      <w:pPr>
        <w:pStyle w:val="PSC-Bullets1"/>
      </w:pPr>
      <w:r>
        <w:t>Create</w:t>
      </w:r>
      <w:r w:rsidRPr="001D13A3">
        <w:t xml:space="preserve"> </w:t>
      </w:r>
      <w:r w:rsidR="1079E3BE" w:rsidRPr="001D13A3">
        <w:t>an</w:t>
      </w:r>
      <w:r w:rsidR="0EBBCD12" w:rsidRPr="001D13A3">
        <w:t xml:space="preserve"> </w:t>
      </w:r>
      <w:r w:rsidR="1079E3BE" w:rsidRPr="001D13A3">
        <w:t>additional 12 directives</w:t>
      </w:r>
      <w:r w:rsidR="37B41DB2" w:rsidRPr="001D13A3">
        <w:t xml:space="preserve"> (and guiding material)</w:t>
      </w:r>
      <w:r w:rsidR="1079E3BE" w:rsidRPr="001D13A3">
        <w:t xml:space="preserve"> to support</w:t>
      </w:r>
      <w:r w:rsidR="30F8804A" w:rsidRPr="001D13A3">
        <w:t xml:space="preserve"> the sector to implement </w:t>
      </w:r>
      <w:r w:rsidR="0095444D" w:rsidRPr="001D13A3">
        <w:t>the Act</w:t>
      </w:r>
      <w:r w:rsidR="30F8804A" w:rsidRPr="001D13A3">
        <w:t xml:space="preserve">. </w:t>
      </w:r>
      <w:r w:rsidR="66E13632" w:rsidRPr="001D13A3">
        <w:t xml:space="preserve">This includes </w:t>
      </w:r>
      <w:r w:rsidR="05A602FA" w:rsidRPr="001D13A3">
        <w:t xml:space="preserve">continuing to work with the sector to implement the </w:t>
      </w:r>
      <w:r w:rsidR="66E13632" w:rsidRPr="001D13A3">
        <w:t xml:space="preserve">new recruitment and selection directive to select the person ‘best suited’ to the role, while </w:t>
      </w:r>
      <w:proofErr w:type="gramStart"/>
      <w:r w:rsidR="66E13632" w:rsidRPr="001D13A3">
        <w:t>taking into account</w:t>
      </w:r>
      <w:proofErr w:type="gramEnd"/>
      <w:r w:rsidR="66E13632" w:rsidRPr="001D13A3">
        <w:t xml:space="preserve"> equity and diversity considerations.</w:t>
      </w:r>
    </w:p>
    <w:p w14:paraId="11A6A360" w14:textId="31F753C6" w:rsidR="00AE1A44" w:rsidRDefault="00925228" w:rsidP="007D6738">
      <w:pPr>
        <w:pStyle w:val="PSC-Bullets1"/>
        <w:rPr>
          <w:szCs w:val="20"/>
        </w:rPr>
      </w:pPr>
      <w:r>
        <w:rPr>
          <w:szCs w:val="20"/>
        </w:rPr>
        <w:t>D</w:t>
      </w:r>
      <w:r w:rsidR="1079E3BE" w:rsidRPr="00EB56F1">
        <w:rPr>
          <w:szCs w:val="20"/>
        </w:rPr>
        <w:t xml:space="preserve">rive improved diversity and inclusion outcomes through reporting against new sector-wide targets for key diversity groups and implementing </w:t>
      </w:r>
      <w:r w:rsidR="000D485B" w:rsidRPr="00EB56F1">
        <w:rPr>
          <w:szCs w:val="20"/>
        </w:rPr>
        <w:t xml:space="preserve">initiatives </w:t>
      </w:r>
      <w:r w:rsidR="1079E3BE" w:rsidRPr="00EB56F1">
        <w:rPr>
          <w:szCs w:val="20"/>
        </w:rPr>
        <w:t xml:space="preserve">to support safe, </w:t>
      </w:r>
      <w:proofErr w:type="gramStart"/>
      <w:r w:rsidR="1079E3BE" w:rsidRPr="00EB56F1">
        <w:rPr>
          <w:szCs w:val="20"/>
        </w:rPr>
        <w:t>respectful</w:t>
      </w:r>
      <w:proofErr w:type="gramEnd"/>
      <w:r w:rsidR="1079E3BE" w:rsidRPr="00EB56F1">
        <w:rPr>
          <w:szCs w:val="20"/>
        </w:rPr>
        <w:t xml:space="preserve"> and inclusive workplace cultures</w:t>
      </w:r>
      <w:r>
        <w:rPr>
          <w:szCs w:val="20"/>
        </w:rPr>
        <w:t>.</w:t>
      </w:r>
    </w:p>
    <w:p w14:paraId="2E719F06" w14:textId="0E119F3D" w:rsidR="00531573" w:rsidRDefault="00DC1857" w:rsidP="007D6738">
      <w:pPr>
        <w:pStyle w:val="PSC-Bullets1"/>
      </w:pPr>
      <w:r>
        <w:t xml:space="preserve">Engage the sector </w:t>
      </w:r>
      <w:r w:rsidR="00531573">
        <w:t>on Women in Leadership initiatives</w:t>
      </w:r>
      <w:r w:rsidR="00F77B4D">
        <w:t>.</w:t>
      </w:r>
    </w:p>
    <w:p w14:paraId="18FBF6AE" w14:textId="210056C9" w:rsidR="007B1F7A" w:rsidRDefault="00925228" w:rsidP="007D6738">
      <w:pPr>
        <w:pStyle w:val="PSC-Bullets1"/>
      </w:pPr>
      <w:r>
        <w:t>S</w:t>
      </w:r>
      <w:r w:rsidR="1079E3BE">
        <w:t>upport the inclusion of the LGBTIQ+ cohort by increasing the evidence base on representation and work experience</w:t>
      </w:r>
      <w:r w:rsidR="00B248E7">
        <w:t>s</w:t>
      </w:r>
      <w:r>
        <w:t>.</w:t>
      </w:r>
    </w:p>
    <w:p w14:paraId="5886FCFD" w14:textId="31188B0F" w:rsidR="00591627" w:rsidRDefault="00591627" w:rsidP="007D6738">
      <w:pPr>
        <w:pStyle w:val="PSC-Bullets1"/>
      </w:pPr>
      <w:r w:rsidRPr="00591627">
        <w:t>Support agencies to develop advisory services for employees who have experienced sexual harassment</w:t>
      </w:r>
      <w:r>
        <w:t xml:space="preserve">. </w:t>
      </w:r>
    </w:p>
    <w:p w14:paraId="42688DA5" w14:textId="08D46DDA" w:rsidR="007933AC" w:rsidRDefault="00352133" w:rsidP="007D6738">
      <w:pPr>
        <w:pStyle w:val="PSC-Bullets1"/>
      </w:pPr>
      <w:r>
        <w:t>I</w:t>
      </w:r>
      <w:r w:rsidR="1079E3BE">
        <w:t>ncrease publicly available data on gender equality and the gender pay gap</w:t>
      </w:r>
      <w:r>
        <w:t>.</w:t>
      </w:r>
    </w:p>
    <w:p w14:paraId="231D0EE3" w14:textId="61D8B20C" w:rsidR="00A65509" w:rsidRPr="00CC5674" w:rsidRDefault="00352133" w:rsidP="003A25B5">
      <w:pPr>
        <w:pStyle w:val="PSC-Bullets1"/>
        <w:rPr>
          <w:szCs w:val="20"/>
        </w:rPr>
      </w:pPr>
      <w:r w:rsidRPr="00CC5674">
        <w:rPr>
          <w:szCs w:val="20"/>
        </w:rPr>
        <w:t>I</w:t>
      </w:r>
      <w:r w:rsidR="1079E3BE" w:rsidRPr="00CC5674">
        <w:rPr>
          <w:szCs w:val="20"/>
        </w:rPr>
        <w:t>mplement the third stage of program expansion to support more Aboriginal and Torres Strait Islander employees into management and leadership positions by providing access to capability development</w:t>
      </w:r>
      <w:r w:rsidR="006F76CA" w:rsidRPr="00CC5674">
        <w:rPr>
          <w:szCs w:val="20"/>
        </w:rPr>
        <w:t>,</w:t>
      </w:r>
      <w:r w:rsidR="1079E3BE" w:rsidRPr="00CC5674">
        <w:rPr>
          <w:szCs w:val="20"/>
        </w:rPr>
        <w:t xml:space="preserve"> support pathways and </w:t>
      </w:r>
      <w:r w:rsidR="00A65509" w:rsidRPr="00CC5674">
        <w:rPr>
          <w:iCs/>
          <w:lang w:val="en-US"/>
        </w:rPr>
        <w:t>activities aimed at building the sectors cultural capability</w:t>
      </w:r>
      <w:r w:rsidR="00CC5674" w:rsidRPr="00CC5674">
        <w:rPr>
          <w:iCs/>
          <w:lang w:val="en-US"/>
        </w:rPr>
        <w:t>.</w:t>
      </w:r>
    </w:p>
    <w:p w14:paraId="7C114D96" w14:textId="7AEE4D6B" w:rsidR="003865CD" w:rsidRPr="00A65509" w:rsidRDefault="00CF55D8" w:rsidP="003A25B5">
      <w:pPr>
        <w:pStyle w:val="PSC-Bullets1"/>
        <w:rPr>
          <w:szCs w:val="20"/>
        </w:rPr>
      </w:pPr>
      <w:r w:rsidRPr="00A65509">
        <w:rPr>
          <w:szCs w:val="20"/>
        </w:rPr>
        <w:t>I</w:t>
      </w:r>
      <w:r w:rsidR="1079E3BE" w:rsidRPr="00A65509">
        <w:rPr>
          <w:szCs w:val="20"/>
        </w:rPr>
        <w:t>mplement improved guidance and resources on strategic workforce planning to build the capability of the sector</w:t>
      </w:r>
      <w:r w:rsidRPr="00A65509">
        <w:rPr>
          <w:szCs w:val="20"/>
        </w:rPr>
        <w:t>.</w:t>
      </w:r>
    </w:p>
    <w:p w14:paraId="4709AADE" w14:textId="417CED72" w:rsidR="006F2618" w:rsidRPr="00F9180F" w:rsidRDefault="00ED76E6" w:rsidP="0082659E">
      <w:pPr>
        <w:pStyle w:val="PSC-Bullets1"/>
      </w:pPr>
      <w:r>
        <w:t>C</w:t>
      </w:r>
      <w:r w:rsidR="1079E3BE">
        <w:t xml:space="preserve">ontinue to provide data insights that inform sector-wide strategic workforce policy and </w:t>
      </w:r>
      <w:r w:rsidR="78AAC826">
        <w:t>programs and</w:t>
      </w:r>
      <w:r w:rsidR="1079E3BE">
        <w:t xml:space="preserve"> monitor performance through </w:t>
      </w:r>
      <w:r w:rsidR="00D269F9" w:rsidRPr="00D269F9">
        <w:t>improved transparency of reporting.</w:t>
      </w:r>
    </w:p>
    <w:p w14:paraId="05E36E01" w14:textId="7F9E23A5" w:rsidR="00845A0C" w:rsidRPr="00F9180F" w:rsidRDefault="00ED76E6" w:rsidP="00CB0C4B">
      <w:pPr>
        <w:pStyle w:val="PSC-Bullets1"/>
        <w:rPr>
          <w:szCs w:val="20"/>
        </w:rPr>
      </w:pPr>
      <w:r w:rsidRPr="00F9180F">
        <w:rPr>
          <w:szCs w:val="20"/>
        </w:rPr>
        <w:t>W</w:t>
      </w:r>
      <w:r w:rsidR="1079E3BE" w:rsidRPr="00F9180F">
        <w:rPr>
          <w:szCs w:val="20"/>
        </w:rPr>
        <w:t xml:space="preserve">ork with the sector to improve approaches to strategic talent acquisition through graduate programs and </w:t>
      </w:r>
      <w:r w:rsidR="005C5895" w:rsidRPr="00CB0C4B">
        <w:rPr>
          <w:szCs w:val="20"/>
        </w:rPr>
        <w:t>positioning the Queensland public sector as an employer of choice</w:t>
      </w:r>
      <w:r w:rsidR="1079E3BE" w:rsidRPr="00F9180F">
        <w:rPr>
          <w:szCs w:val="20"/>
        </w:rPr>
        <w:t>.</w:t>
      </w:r>
    </w:p>
    <w:p w14:paraId="0FE94269" w14:textId="62793F17" w:rsidR="00032736" w:rsidRPr="00CB0C4B" w:rsidRDefault="00105153" w:rsidP="007D6738">
      <w:pPr>
        <w:pStyle w:val="PSC-Bullets1"/>
      </w:pPr>
      <w:r>
        <w:rPr>
          <w:rFonts w:eastAsia="Times New Roman"/>
        </w:rPr>
        <w:t>F</w:t>
      </w:r>
      <w:r w:rsidR="00182230">
        <w:rPr>
          <w:rFonts w:eastAsia="Times New Roman"/>
        </w:rPr>
        <w:t xml:space="preserve">inalise the review into sector-wide approaches to the management of health, </w:t>
      </w:r>
      <w:proofErr w:type="gramStart"/>
      <w:r w:rsidR="00182230">
        <w:rPr>
          <w:rFonts w:eastAsia="Times New Roman"/>
        </w:rPr>
        <w:t>safety</w:t>
      </w:r>
      <w:proofErr w:type="gramEnd"/>
      <w:r w:rsidR="00182230">
        <w:rPr>
          <w:rFonts w:eastAsia="Times New Roman"/>
        </w:rPr>
        <w:t xml:space="preserve"> and wellbeing issues</w:t>
      </w:r>
      <w:r w:rsidR="00D20258">
        <w:rPr>
          <w:rFonts w:eastAsia="Times New Roman"/>
        </w:rPr>
        <w:t xml:space="preserve">, </w:t>
      </w:r>
      <w:r w:rsidR="00D20258" w:rsidRPr="0067388B">
        <w:rPr>
          <w:rFonts w:eastAsia="Times New Roman"/>
        </w:rPr>
        <w:t xml:space="preserve">including a refresh of the sector’s </w:t>
      </w:r>
      <w:r w:rsidR="00D20258" w:rsidRPr="00386CB0">
        <w:rPr>
          <w:rFonts w:eastAsia="Times New Roman"/>
          <w:i/>
        </w:rPr>
        <w:t>Be healthy, be safe, be well</w:t>
      </w:r>
      <w:r w:rsidR="00D20258" w:rsidRPr="0067388B">
        <w:rPr>
          <w:rFonts w:eastAsia="Times New Roman"/>
        </w:rPr>
        <w:t xml:space="preserve"> framework</w:t>
      </w:r>
      <w:r w:rsidR="00D20258">
        <w:rPr>
          <w:rFonts w:eastAsia="Times New Roman"/>
        </w:rPr>
        <w:t xml:space="preserve">. </w:t>
      </w:r>
    </w:p>
    <w:p w14:paraId="51BC92E4" w14:textId="7389FCFA" w:rsidR="00A14A5D" w:rsidRPr="00CB0C4B" w:rsidRDefault="00105153" w:rsidP="007D6738">
      <w:pPr>
        <w:pStyle w:val="PSC-Bullets1"/>
      </w:pPr>
      <w:r w:rsidRPr="00CB0C4B">
        <w:t>Support</w:t>
      </w:r>
      <w:r w:rsidR="009C4DB3" w:rsidRPr="00CB0C4B">
        <w:t xml:space="preserve"> HR practitioners to develop skills needed for strategic workforce planning and to address challenges. </w:t>
      </w:r>
    </w:p>
    <w:p w14:paraId="7267B5FC" w14:textId="381341CC" w:rsidR="00A14A5D" w:rsidRPr="00CB0C4B" w:rsidRDefault="00A14A5D" w:rsidP="007D6738">
      <w:pPr>
        <w:pStyle w:val="PSC-Bullets1"/>
      </w:pPr>
      <w:r w:rsidRPr="00CB0C4B">
        <w:t xml:space="preserve">Continue to support the sector in meeting its workforce capability requirements under </w:t>
      </w:r>
      <w:r w:rsidR="00202321">
        <w:t xml:space="preserve">chapter </w:t>
      </w:r>
      <w:r w:rsidR="00755D75">
        <w:t>one,</w:t>
      </w:r>
      <w:r w:rsidR="00202321">
        <w:t xml:space="preserve"> </w:t>
      </w:r>
      <w:r w:rsidR="00121655" w:rsidRPr="00CB0C4B">
        <w:t>p</w:t>
      </w:r>
      <w:r w:rsidRPr="00CB0C4B">
        <w:t xml:space="preserve">art </w:t>
      </w:r>
      <w:r w:rsidR="00A939B4" w:rsidRPr="00CB0C4B">
        <w:t>three</w:t>
      </w:r>
      <w:r w:rsidRPr="00CB0C4B">
        <w:t xml:space="preserve"> of the </w:t>
      </w:r>
      <w:r w:rsidR="00A939B4" w:rsidRPr="00CB0C4B">
        <w:t>Act</w:t>
      </w:r>
      <w:r w:rsidRPr="00CB0C4B">
        <w:t xml:space="preserve"> to reframe the relationship with Aboriginal peoples and Torres Strait Islander peoples.</w:t>
      </w:r>
    </w:p>
    <w:p w14:paraId="08A3D32E" w14:textId="6987A7BD" w:rsidR="00032736" w:rsidRPr="00B51612" w:rsidRDefault="00A14A5D" w:rsidP="00CB0C4B">
      <w:pPr>
        <w:pStyle w:val="PSC-Bullets1"/>
        <w:rPr>
          <w:szCs w:val="20"/>
        </w:rPr>
      </w:pPr>
      <w:r w:rsidRPr="00CB0C4B">
        <w:t xml:space="preserve">Review the current Leadership </w:t>
      </w:r>
      <w:r w:rsidR="0069613A">
        <w:t>c</w:t>
      </w:r>
      <w:r w:rsidRPr="00CB0C4B">
        <w:t xml:space="preserve">ompetencies for Queensland </w:t>
      </w:r>
      <w:r w:rsidR="00023DCF">
        <w:t>f</w:t>
      </w:r>
      <w:r w:rsidRPr="00CB0C4B">
        <w:t>ramework to consider how to embed cultural capability competencies</w:t>
      </w:r>
      <w:r w:rsidR="00374C78" w:rsidRPr="00CB0C4B">
        <w:t>.</w:t>
      </w:r>
    </w:p>
    <w:p w14:paraId="6C97B33B" w14:textId="42B816C2" w:rsidR="00845A0C" w:rsidRPr="00CB0C4B" w:rsidRDefault="68CA7826" w:rsidP="00CB0C4B">
      <w:pPr>
        <w:pStyle w:val="PSC-Bullets1"/>
      </w:pPr>
      <w:r>
        <w:t>Progress work to improve capability in delivering person-centred responses to sexual harassment complaints and ensure coordination in the sector’s response to preventing and responding to sexual harassment.</w:t>
      </w:r>
    </w:p>
    <w:p w14:paraId="4FADF584" w14:textId="67D014E2" w:rsidR="0D53E1D8" w:rsidRDefault="0D53E1D8" w:rsidP="41BF1D54">
      <w:pPr>
        <w:pStyle w:val="PSC-Bullets1"/>
        <w:rPr>
          <w:rFonts w:eastAsia="MS Mincho"/>
        </w:rPr>
      </w:pPr>
      <w:r w:rsidRPr="41BF1D54">
        <w:rPr>
          <w:rFonts w:eastAsia="MS Mincho"/>
        </w:rPr>
        <w:t xml:space="preserve">Ensure consistency in the use of senior executive service positions across the public service and </w:t>
      </w:r>
      <w:r w:rsidR="0039791F">
        <w:rPr>
          <w:rFonts w:eastAsia="MS Mincho"/>
        </w:rPr>
        <w:t xml:space="preserve">ensure that </w:t>
      </w:r>
      <w:r w:rsidRPr="41BF1D54">
        <w:rPr>
          <w:rFonts w:eastAsia="MS Mincho"/>
        </w:rPr>
        <w:t>all senior executives are appropriately engaged to deliver on the government’s priorities.</w:t>
      </w:r>
    </w:p>
    <w:p w14:paraId="09B5295F" w14:textId="7CE98DE8" w:rsidR="41BF1D54" w:rsidRDefault="41BF1D54" w:rsidP="0026557F">
      <w:pPr>
        <w:pStyle w:val="PSC-Bullets1"/>
        <w:numPr>
          <w:ilvl w:val="0"/>
          <w:numId w:val="0"/>
        </w:numPr>
        <w:rPr>
          <w:rFonts w:eastAsia="Calibri"/>
          <w:szCs w:val="20"/>
        </w:rPr>
      </w:pPr>
    </w:p>
    <w:p w14:paraId="0F222215" w14:textId="5E6510C4" w:rsidR="001C6C50" w:rsidRDefault="001C6C50" w:rsidP="42FC969E">
      <w:r>
        <w:br w:type="page"/>
      </w:r>
    </w:p>
    <w:p w14:paraId="7ED343D6" w14:textId="26CB148A" w:rsidR="00042389" w:rsidRDefault="00042389" w:rsidP="00A9740A">
      <w:pPr>
        <w:pStyle w:val="PSCHeading1"/>
      </w:pPr>
      <w:bookmarkStart w:id="173" w:name="_Toc79493362"/>
      <w:bookmarkStart w:id="174" w:name="_Toc625826699"/>
      <w:bookmarkStart w:id="175" w:name="_Toc141342848"/>
      <w:bookmarkStart w:id="176" w:name="_Toc141781798"/>
      <w:bookmarkStart w:id="177" w:name="_Toc141781960"/>
      <w:bookmarkStart w:id="178" w:name="_Toc145926909"/>
      <w:bookmarkEnd w:id="167"/>
      <w:bookmarkEnd w:id="169"/>
      <w:bookmarkEnd w:id="170"/>
      <w:bookmarkEnd w:id="171"/>
      <w:bookmarkEnd w:id="172"/>
      <w:r>
        <w:lastRenderedPageBreak/>
        <w:t>Governance</w:t>
      </w:r>
      <w:bookmarkEnd w:id="173"/>
      <w:bookmarkEnd w:id="174"/>
      <w:bookmarkEnd w:id="175"/>
      <w:bookmarkEnd w:id="176"/>
      <w:bookmarkEnd w:id="177"/>
      <w:bookmarkEnd w:id="178"/>
    </w:p>
    <w:p w14:paraId="08C82D16" w14:textId="488BF3B9" w:rsidR="007C5670" w:rsidRDefault="007C5670" w:rsidP="007C5670">
      <w:pPr>
        <w:pStyle w:val="PSCHeading2"/>
        <w:spacing w:before="0"/>
      </w:pPr>
      <w:bookmarkStart w:id="179" w:name="_Toc145926910"/>
      <w:r w:rsidRPr="00124638">
        <w:t>Organisational structure</w:t>
      </w:r>
      <w:bookmarkEnd w:id="179"/>
      <w:r w:rsidRPr="00124638">
        <w:t xml:space="preserve"> </w:t>
      </w:r>
    </w:p>
    <w:bookmarkStart w:id="180" w:name="_Toc79493363"/>
    <w:bookmarkStart w:id="181" w:name="_Toc141781799"/>
    <w:bookmarkStart w:id="182" w:name="_Toc141781961"/>
    <w:bookmarkStart w:id="183" w:name="_Toc145672680"/>
    <w:p w14:paraId="3ACB3824" w14:textId="044C26FE" w:rsidR="000F7FB9" w:rsidRDefault="00A9413B" w:rsidP="001719DB">
      <w:pPr>
        <w:pStyle w:val="PSC-Body"/>
      </w:pPr>
      <w:r>
        <w:rPr>
          <w:noProof/>
        </w:rPr>
        <mc:AlternateContent>
          <mc:Choice Requires="wpg">
            <w:drawing>
              <wp:anchor distT="0" distB="0" distL="114300" distR="114300" simplePos="0" relativeHeight="251658253" behindDoc="0" locked="0" layoutInCell="1" allowOverlap="1" wp14:anchorId="11464935" wp14:editId="5FE1A13B">
                <wp:simplePos x="0" y="0"/>
                <wp:positionH relativeFrom="column">
                  <wp:posOffset>-1905</wp:posOffset>
                </wp:positionH>
                <wp:positionV relativeFrom="paragraph">
                  <wp:posOffset>-1905</wp:posOffset>
                </wp:positionV>
                <wp:extent cx="6136005" cy="3349625"/>
                <wp:effectExtent l="0" t="0" r="55245" b="0"/>
                <wp:wrapTopAndBottom/>
                <wp:docPr id="782048429" name="Group 3" descr="Public Sector Commission's organisational structure "/>
                <wp:cNvGraphicFramePr/>
                <a:graphic xmlns:a="http://schemas.openxmlformats.org/drawingml/2006/main">
                  <a:graphicData uri="http://schemas.microsoft.com/office/word/2010/wordprocessingGroup">
                    <wpg:wgp>
                      <wpg:cNvGrpSpPr/>
                      <wpg:grpSpPr>
                        <a:xfrm>
                          <a:off x="0" y="0"/>
                          <a:ext cx="6136005" cy="3349625"/>
                          <a:chOff x="0" y="0"/>
                          <a:chExt cx="6136005" cy="3349625"/>
                        </a:xfrm>
                      </wpg:grpSpPr>
                      <wpg:graphicFrame>
                        <wpg:cNvPr id="1794158356" name="Diagram 1"/>
                        <wpg:cNvFrPr/>
                        <wpg:xfrm>
                          <a:off x="0" y="0"/>
                          <a:ext cx="6136005" cy="3349625"/>
                        </wpg:xfrm>
                        <a:graphic>
                          <a:graphicData uri="http://schemas.openxmlformats.org/drawingml/2006/diagram">
                            <dgm:relIds xmlns:dgm="http://schemas.openxmlformats.org/drawingml/2006/diagram" xmlns:r="http://schemas.openxmlformats.org/officeDocument/2006/relationships" r:dm="rId32" r:lo="rId33" r:qs="rId34" r:cs="rId35"/>
                          </a:graphicData>
                        </a:graphic>
                      </wpg:graphicFrame>
                      <wps:wsp>
                        <wps:cNvPr id="1066122954" name="Text Box 1066122954"/>
                        <wps:cNvSpPr txBox="1"/>
                        <wps:spPr>
                          <a:xfrm>
                            <a:off x="4498002" y="1432384"/>
                            <a:ext cx="1369433" cy="424698"/>
                          </a:xfrm>
                          <a:prstGeom prst="rect">
                            <a:avLst/>
                          </a:prstGeom>
                          <a:solidFill>
                            <a:schemeClr val="lt1"/>
                          </a:solidFill>
                          <a:ln w="19050">
                            <a:solidFill>
                              <a:prstClr val="black"/>
                            </a:solidFill>
                          </a:ln>
                        </wps:spPr>
                        <wps:txbx>
                          <w:txbxContent>
                            <w:p w14:paraId="76F04700" w14:textId="092C83BD" w:rsidR="006F56BE" w:rsidRDefault="006F56BE" w:rsidP="00F05968">
                              <w:pPr>
                                <w:jc w:val="center"/>
                              </w:pPr>
                              <w:r>
                                <w:t>Special Commissioner, Equity and Diversity</w:t>
                              </w: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wps:wsp>
                        <wps:cNvPr id="1272435981" name="Straight Connector 1272435981"/>
                        <wps:cNvCnPr/>
                        <wps:spPr>
                          <a:xfrm flipH="1" flipV="1">
                            <a:off x="3615315" y="1643805"/>
                            <a:ext cx="877341"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907667960" name="Connector: Elbow 907667960"/>
                        <wps:cNvCnPr/>
                        <wps:spPr>
                          <a:xfrm>
                            <a:off x="3620601" y="406987"/>
                            <a:ext cx="1625118" cy="1029242"/>
                          </a:xfrm>
                          <a:prstGeom prst="bentConnector3">
                            <a:avLst>
                              <a:gd name="adj1" fmla="val 9811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464935" id="Group 3" o:spid="_x0000_s1029" alt="Public Sector Commission's organisational structure " style="position:absolute;margin-left:-.15pt;margin-top:-.15pt;width:483.15pt;height:263.75pt;z-index:251658253" coordsize="61360,3349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30" type="#_x0000_t75" style="position:absolute;left:-60;top:2133;width:61812;height:30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">
                  <v:imagedata r:id="rId37" o:title=""/>
                  <o:lock v:ext="edit" aspectratio="f"/>
                </v:shape>
                <v:shape id="Text Box 1066122954" o:spid="_x0000_s1031" type="#_x0000_t202" style="position:absolute;left:44980;top:14323;width:13694;height:4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" fillcolor="white [3201]" strokeweight="1.5pt">
                  <v:textbox inset=".5mm,,.5mm">
                    <w:txbxContent>
                      <w:p w14:paraId="76F04700" w14:textId="092C83BD" w:rsidR="006F56BE" w:rsidRDefault="006F56BE" w:rsidP="00F05968">
                        <w:pPr>
                          <w:jc w:val="center"/>
                        </w:pPr>
                        <w:r>
                          <w:t>Special Commissioner, Equity and Diversity</w:t>
                        </w:r>
                      </w:p>
                    </w:txbxContent>
                  </v:textbox>
                </v:shape>
                <v:line id="Straight Connector 1272435981" o:spid="_x0000_s1032" style="position:absolute;flip:x y;visibility:visible;mso-wrap-style:square" from="36153,16438" to="44926,1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" strokecolor="black [3200]" strokeweight="1pt">
                  <v:stroke dashstyle="dash"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07667960" o:spid="_x0000_s1033" type="#_x0000_t34" style="position:absolute;left:36206;top:4069;width:16251;height:102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" adj="21193" strokecolor="black [3213]" strokeweight="1pt"/>
                <w10:wrap type="topAndBottom"/>
              </v:group>
            </w:pict>
          </mc:Fallback>
        </mc:AlternateContent>
      </w:r>
      <w:bookmarkEnd w:id="180"/>
      <w:bookmarkEnd w:id="181"/>
      <w:bookmarkEnd w:id="182"/>
      <w:bookmarkEnd w:id="183"/>
      <w:r w:rsidR="000F7FB9" w:rsidRPr="00124638">
        <w:t xml:space="preserve"> </w:t>
      </w:r>
    </w:p>
    <w:p w14:paraId="468ED2CF" w14:textId="13A69819" w:rsidR="000F7FB9" w:rsidRPr="00D42C17" w:rsidRDefault="000F7FB9" w:rsidP="000F7FB9">
      <w:pPr>
        <w:pStyle w:val="PSCHeading2"/>
        <w:spacing w:before="0"/>
        <w:rPr>
          <w:shd w:val="clear" w:color="auto" w:fill="FFFFFF"/>
        </w:rPr>
      </w:pPr>
      <w:bookmarkStart w:id="184" w:name="_Toc79493364"/>
      <w:bookmarkStart w:id="185" w:name="_Toc141781800"/>
      <w:bookmarkStart w:id="186" w:name="_Toc141781962"/>
      <w:bookmarkStart w:id="187" w:name="_Toc145926911"/>
      <w:r w:rsidRPr="00D42C17">
        <w:rPr>
          <w:shd w:val="clear" w:color="auto" w:fill="FFFFFF"/>
        </w:rPr>
        <w:t>Executive management</w:t>
      </w:r>
      <w:bookmarkEnd w:id="184"/>
      <w:bookmarkEnd w:id="185"/>
      <w:bookmarkEnd w:id="186"/>
      <w:bookmarkEnd w:id="187"/>
    </w:p>
    <w:p w14:paraId="1FC6DB1C" w14:textId="25DBEFF2" w:rsidR="00042389" w:rsidRPr="00D42C17" w:rsidRDefault="00042389" w:rsidP="00747D59">
      <w:pPr>
        <w:pStyle w:val="PSCBodystrong"/>
      </w:pPr>
      <w:bookmarkStart w:id="188" w:name="_Toc141781801"/>
      <w:bookmarkStart w:id="189" w:name="_Toc141781963"/>
      <w:bookmarkStart w:id="190" w:name="_Toc144285972"/>
      <w:bookmarkStart w:id="191" w:name="_Toc74055902"/>
      <w:bookmarkStart w:id="192" w:name="_Toc76549856"/>
      <w:bookmarkStart w:id="193" w:name="_Toc79493365"/>
      <w:r w:rsidRPr="00D42C17">
        <w:t>Public Se</w:t>
      </w:r>
      <w:r w:rsidR="00F069FE" w:rsidRPr="00D42C17">
        <w:t>ctor</w:t>
      </w:r>
      <w:r w:rsidRPr="00D42C17">
        <w:t xml:space="preserve"> Commission</w:t>
      </w:r>
      <w:bookmarkEnd w:id="188"/>
      <w:bookmarkEnd w:id="189"/>
      <w:bookmarkEnd w:id="190"/>
      <w:r w:rsidRPr="00D42C17">
        <w:t xml:space="preserve"> </w:t>
      </w:r>
      <w:bookmarkEnd w:id="191"/>
      <w:bookmarkEnd w:id="192"/>
      <w:bookmarkEnd w:id="193"/>
    </w:p>
    <w:p w14:paraId="0A27CD1E" w14:textId="223C53B6" w:rsidR="00071EFC" w:rsidRDefault="008C3165" w:rsidP="00886DA2">
      <w:pPr>
        <w:pStyle w:val="PSC-Body"/>
        <w:spacing w:after="0"/>
      </w:pPr>
      <w:r>
        <w:t>Under the</w:t>
      </w:r>
      <w:r w:rsidR="00145B24">
        <w:t xml:space="preserve"> Act</w:t>
      </w:r>
      <w:r w:rsidRPr="41BF1D54">
        <w:rPr>
          <w:rFonts w:ascii="Arial-ItalicMT" w:hAnsi="Arial-ItalicMT" w:cs="Arial-ItalicMT"/>
        </w:rPr>
        <w:t>,</w:t>
      </w:r>
      <w:r w:rsidRPr="41BF1D54">
        <w:rPr>
          <w:rFonts w:ascii="Arial-ItalicMT" w:hAnsi="Arial-ItalicMT" w:cs="Arial-ItalicMT"/>
          <w:i/>
          <w:iCs/>
        </w:rPr>
        <w:t xml:space="preserve"> </w:t>
      </w:r>
      <w:r>
        <w:t xml:space="preserve">the </w:t>
      </w:r>
      <w:r w:rsidR="002E0E28">
        <w:t>Commission</w:t>
      </w:r>
      <w:r w:rsidR="6060F9FC">
        <w:t xml:space="preserve"> consists of</w:t>
      </w:r>
      <w:r w:rsidR="00071EFC">
        <w:t>:</w:t>
      </w:r>
    </w:p>
    <w:p w14:paraId="035D4A1F" w14:textId="13C274AD" w:rsidR="002135DF" w:rsidRDefault="52C96C75" w:rsidP="00D42C17">
      <w:pPr>
        <w:pStyle w:val="PSC-Bullets1"/>
      </w:pPr>
      <w:r>
        <w:t xml:space="preserve">the </w:t>
      </w:r>
      <w:r w:rsidR="009D7220">
        <w:t>C</w:t>
      </w:r>
      <w:r>
        <w:t>ommissioner</w:t>
      </w:r>
    </w:p>
    <w:p w14:paraId="732DD01C" w14:textId="2C0E5477" w:rsidR="002135DF" w:rsidRDefault="52C96C75" w:rsidP="00D42C17">
      <w:pPr>
        <w:pStyle w:val="PSC-Bullets1"/>
      </w:pPr>
      <w:r>
        <w:t xml:space="preserve">each </w:t>
      </w:r>
      <w:r w:rsidR="00E379DF">
        <w:t>S</w:t>
      </w:r>
      <w:r>
        <w:t xml:space="preserve">pecial </w:t>
      </w:r>
      <w:r w:rsidR="00E379DF">
        <w:t>C</w:t>
      </w:r>
      <w:r>
        <w:t>ommissioner</w:t>
      </w:r>
    </w:p>
    <w:p w14:paraId="7FAF5CFE" w14:textId="234D999E" w:rsidR="41BF1D54" w:rsidRDefault="52C96C75" w:rsidP="00747D59">
      <w:pPr>
        <w:pStyle w:val="PSC-Bullets1"/>
      </w:pPr>
      <w:r>
        <w:t xml:space="preserve">the </w:t>
      </w:r>
      <w:r w:rsidR="00813C2A">
        <w:t xml:space="preserve">staff </w:t>
      </w:r>
      <w:r>
        <w:t xml:space="preserve">of the </w:t>
      </w:r>
      <w:r w:rsidR="00E379DF">
        <w:t>C</w:t>
      </w:r>
      <w:r>
        <w:t xml:space="preserve">ommission. </w:t>
      </w:r>
      <w:r w:rsidR="002135DF">
        <w:t xml:space="preserve"> </w:t>
      </w:r>
    </w:p>
    <w:p w14:paraId="0E3F02CB" w14:textId="0ED70755" w:rsidR="319C1077" w:rsidRDefault="004C2967" w:rsidP="00747D59">
      <w:pPr>
        <w:pStyle w:val="PSC-Body"/>
      </w:pPr>
      <w:r>
        <w:t xml:space="preserve">A </w:t>
      </w:r>
      <w:r w:rsidR="00BB1C5D">
        <w:t>S</w:t>
      </w:r>
      <w:r w:rsidR="319C1077" w:rsidRPr="41BF1D54">
        <w:t xml:space="preserve">pecial Commissioner, Equity and Diversity, has been appointed. </w:t>
      </w:r>
    </w:p>
    <w:p w14:paraId="6D85CE29" w14:textId="2A77ACE8" w:rsidR="53FE0F3B" w:rsidRDefault="53FE0F3B" w:rsidP="00720D01">
      <w:pPr>
        <w:pStyle w:val="PSCHeading2"/>
      </w:pPr>
      <w:bookmarkStart w:id="194" w:name="_Toc145926912"/>
      <w:r w:rsidRPr="00EA0E23">
        <w:t>Public Sector Governance Council</w:t>
      </w:r>
      <w:bookmarkEnd w:id="194"/>
    </w:p>
    <w:p w14:paraId="5D9DF50E" w14:textId="2D8231E2" w:rsidR="03458439" w:rsidRDefault="03458439" w:rsidP="008262FA">
      <w:pPr>
        <w:pStyle w:val="PSC-Body"/>
      </w:pPr>
      <w:r w:rsidRPr="66A9FDCE">
        <w:t xml:space="preserve">On 1 March 2023, </w:t>
      </w:r>
      <w:r w:rsidR="6D5E2E53" w:rsidRPr="66A9FDCE">
        <w:t xml:space="preserve">with the commencement of the Act, </w:t>
      </w:r>
      <w:r w:rsidRPr="66A9FDCE">
        <w:t xml:space="preserve">the Public Sector Governance Council replaced the Public Service Commission Board. </w:t>
      </w:r>
    </w:p>
    <w:p w14:paraId="6DA9D88C" w14:textId="697FCAC1" w:rsidR="00CC4034" w:rsidRPr="005142FD" w:rsidRDefault="00CC4034" w:rsidP="008262FA">
      <w:pPr>
        <w:pStyle w:val="PSC-Body"/>
        <w:rPr>
          <w:shd w:val="clear" w:color="auto" w:fill="FFFFFF"/>
        </w:rPr>
      </w:pPr>
      <w:r w:rsidRPr="005142FD">
        <w:rPr>
          <w:shd w:val="clear" w:color="auto" w:fill="FFFFFF"/>
        </w:rPr>
        <w:t>In 202</w:t>
      </w:r>
      <w:r w:rsidR="00D81BD2">
        <w:rPr>
          <w:shd w:val="clear" w:color="auto" w:fill="FFFFFF"/>
        </w:rPr>
        <w:t>2</w:t>
      </w:r>
      <w:r w:rsidRPr="005142FD">
        <w:rPr>
          <w:shd w:val="clear" w:color="auto" w:fill="FFFFFF"/>
        </w:rPr>
        <w:t>–2</w:t>
      </w:r>
      <w:r w:rsidR="00D81BD2">
        <w:rPr>
          <w:shd w:val="clear" w:color="auto" w:fill="FFFFFF"/>
        </w:rPr>
        <w:t>3</w:t>
      </w:r>
      <w:r w:rsidRPr="005142FD">
        <w:rPr>
          <w:shd w:val="clear" w:color="auto" w:fill="FFFFFF"/>
        </w:rPr>
        <w:t xml:space="preserve">, the </w:t>
      </w:r>
      <w:r w:rsidR="00354671">
        <w:t>Public Sector Governance Council</w:t>
      </w:r>
      <w:r w:rsidRPr="005142FD">
        <w:rPr>
          <w:shd w:val="clear" w:color="auto" w:fill="FFFFFF"/>
        </w:rPr>
        <w:t xml:space="preserve"> met on </w:t>
      </w:r>
      <w:r w:rsidR="00FB5DC5">
        <w:rPr>
          <w:shd w:val="clear" w:color="auto" w:fill="FFFFFF"/>
        </w:rPr>
        <w:t>three</w:t>
      </w:r>
      <w:r w:rsidR="00FB5DC5" w:rsidRPr="005142FD">
        <w:rPr>
          <w:shd w:val="clear" w:color="auto" w:fill="FFFFFF"/>
        </w:rPr>
        <w:t xml:space="preserve"> </w:t>
      </w:r>
      <w:r w:rsidRPr="005142FD">
        <w:rPr>
          <w:shd w:val="clear" w:color="auto" w:fill="FFFFFF"/>
        </w:rPr>
        <w:t>occasions and considered urgent matters out-of-session.</w:t>
      </w:r>
    </w:p>
    <w:p w14:paraId="5D080643" w14:textId="5457B742" w:rsidR="003F5E56" w:rsidRPr="003B61C8" w:rsidRDefault="002E0E28" w:rsidP="00886DA2">
      <w:pPr>
        <w:pStyle w:val="PSC-Body"/>
        <w:spacing w:after="0"/>
      </w:pPr>
      <w:r>
        <w:t>K</w:t>
      </w:r>
      <w:r w:rsidR="00835E76" w:rsidRPr="007D189D">
        <w:t>ey activities included</w:t>
      </w:r>
      <w:r w:rsidR="00E938D8">
        <w:t xml:space="preserve"> monitoring</w:t>
      </w:r>
      <w:r w:rsidR="003F5E56" w:rsidRPr="007D189D">
        <w:t xml:space="preserve">: </w:t>
      </w:r>
    </w:p>
    <w:p w14:paraId="5BB25AD4" w14:textId="22D3ACA9" w:rsidR="00372761" w:rsidRPr="005849AC" w:rsidRDefault="00372761" w:rsidP="00D42C17">
      <w:pPr>
        <w:pStyle w:val="PSC-Bullets1"/>
      </w:pPr>
      <w:r>
        <w:t>the performance of agencies on a quarterly</w:t>
      </w:r>
      <w:r w:rsidR="00314723">
        <w:t xml:space="preserve"> </w:t>
      </w:r>
      <w:r>
        <w:t xml:space="preserve">basis </w:t>
      </w:r>
      <w:r w:rsidR="00195655">
        <w:t xml:space="preserve">focused </w:t>
      </w:r>
      <w:r>
        <w:t>on workforce, budget an</w:t>
      </w:r>
      <w:r w:rsidR="00314723">
        <w:t xml:space="preserve">d </w:t>
      </w:r>
      <w:r>
        <w:t xml:space="preserve">capital </w:t>
      </w:r>
      <w:proofErr w:type="gramStart"/>
      <w:r>
        <w:t>performance</w:t>
      </w:r>
      <w:proofErr w:type="gramEnd"/>
    </w:p>
    <w:p w14:paraId="5CB477E7" w14:textId="4E0FE707" w:rsidR="00372761" w:rsidRPr="005849AC" w:rsidRDefault="00372761" w:rsidP="00D42C17">
      <w:pPr>
        <w:pStyle w:val="PSC-Bullets1"/>
      </w:pPr>
      <w:r>
        <w:t>equity and diversity activities under the</w:t>
      </w:r>
      <w:r w:rsidR="00090DFE">
        <w:t xml:space="preserve"> </w:t>
      </w:r>
      <w:r>
        <w:t>guidance of the Special Commissioner,</w:t>
      </w:r>
      <w:r w:rsidR="00090DFE">
        <w:t xml:space="preserve"> </w:t>
      </w:r>
      <w:r>
        <w:t>Equity and Diversity.</w:t>
      </w:r>
    </w:p>
    <w:p w14:paraId="31125FB1" w14:textId="09C604F2" w:rsidR="009C265B" w:rsidRDefault="6F3370E4" w:rsidP="00886DA2">
      <w:pPr>
        <w:pStyle w:val="PSC-Body"/>
        <w:spacing w:after="0"/>
      </w:pPr>
      <w:r>
        <w:t>The Council also considered other matters such as</w:t>
      </w:r>
      <w:r w:rsidR="009C265B">
        <w:t>:</w:t>
      </w:r>
    </w:p>
    <w:p w14:paraId="36CDAB56" w14:textId="48B0E8B8" w:rsidR="00835E85" w:rsidRPr="005849AC" w:rsidRDefault="00551F0A" w:rsidP="00D42C17">
      <w:pPr>
        <w:pStyle w:val="PSC-Bullets1"/>
        <w:rPr>
          <w:b/>
          <w:bCs/>
        </w:rPr>
      </w:pPr>
      <w:r>
        <w:t>p</w:t>
      </w:r>
      <w:r w:rsidR="6698B82B">
        <w:t>ublic sector diversity targets</w:t>
      </w:r>
    </w:p>
    <w:p w14:paraId="2473EAC5" w14:textId="4FAB44E4" w:rsidR="00835E85" w:rsidRPr="005849AC" w:rsidRDefault="00551F0A" w:rsidP="00D42C17">
      <w:pPr>
        <w:pStyle w:val="PSC-Bullets1"/>
        <w:rPr>
          <w:b/>
          <w:bCs/>
        </w:rPr>
      </w:pPr>
      <w:r>
        <w:t>e</w:t>
      </w:r>
      <w:r w:rsidR="6698B82B">
        <w:t>xecutive remuneration</w:t>
      </w:r>
    </w:p>
    <w:p w14:paraId="67DC5DA9" w14:textId="1C4A9733" w:rsidR="00835E85" w:rsidRPr="005849AC" w:rsidRDefault="00551F0A" w:rsidP="00D42C17">
      <w:pPr>
        <w:pStyle w:val="PSC-Bullets1"/>
        <w:rPr>
          <w:b/>
          <w:bCs/>
        </w:rPr>
      </w:pPr>
      <w:r>
        <w:t>m</w:t>
      </w:r>
      <w:r w:rsidR="6698B82B">
        <w:t>onitoring the number of senior executive roles</w:t>
      </w:r>
    </w:p>
    <w:p w14:paraId="1D2A8C2A" w14:textId="74973B2B" w:rsidR="00532D7A" w:rsidRPr="00741641" w:rsidRDefault="00551F0A" w:rsidP="00D42C17">
      <w:pPr>
        <w:pStyle w:val="PSC-Bullets1"/>
        <w:rPr>
          <w:b/>
          <w:bCs/>
        </w:rPr>
      </w:pPr>
      <w:r>
        <w:t>m</w:t>
      </w:r>
      <w:r w:rsidR="3D60C9FF">
        <w:t>achinery of government changes</w:t>
      </w:r>
    </w:p>
    <w:p w14:paraId="4AD9DA22" w14:textId="2AE3DB35" w:rsidR="00715572" w:rsidRPr="00E145BD" w:rsidRDefault="00551F0A" w:rsidP="00715572">
      <w:pPr>
        <w:pStyle w:val="PSC-Bullets1"/>
        <w:rPr>
          <w:b/>
          <w:bCs/>
        </w:rPr>
      </w:pPr>
      <w:r>
        <w:t>p</w:t>
      </w:r>
      <w:r w:rsidR="3D60C9FF">
        <w:t>ublic sector recruitment</w:t>
      </w:r>
      <w:r w:rsidR="4AD21374">
        <w:t>.</w:t>
      </w:r>
      <w:r w:rsidR="3D60C9FF">
        <w:t xml:space="preserve"> </w:t>
      </w:r>
    </w:p>
    <w:p w14:paraId="2DE52373" w14:textId="1114C45E" w:rsidR="00A9740A" w:rsidRPr="00532D7A" w:rsidRDefault="00A9740A" w:rsidP="00532D7A">
      <w:pPr>
        <w:rPr>
          <w:b/>
          <w:bCs/>
        </w:rPr>
      </w:pPr>
      <w:r w:rsidRPr="00701A95">
        <w:rPr>
          <w:b/>
          <w:bCs/>
        </w:rPr>
        <w:t>Members</w:t>
      </w:r>
      <w:r w:rsidR="656E6E9A" w:rsidRPr="00701A95">
        <w:rPr>
          <w:b/>
          <w:bCs/>
        </w:rPr>
        <w:t xml:space="preserve"> of the Council:</w:t>
      </w:r>
    </w:p>
    <w:p w14:paraId="1DB458D7" w14:textId="53C1A055" w:rsidR="003B30FD" w:rsidRPr="00575756" w:rsidRDefault="00B1468E" w:rsidP="00D42C17">
      <w:pPr>
        <w:pStyle w:val="PSC-Bullets1"/>
      </w:pPr>
      <w:bookmarkStart w:id="195" w:name="_Toc74055903"/>
      <w:bookmarkStart w:id="196" w:name="_Toc76549857"/>
      <w:bookmarkStart w:id="197" w:name="_Toc79493366"/>
      <w:r>
        <w:t>Rachel Hunter</w:t>
      </w:r>
      <w:r w:rsidR="00871E39">
        <w:t>, Director General, Department of Premier and Cabinet (Chair</w:t>
      </w:r>
      <w:r w:rsidR="00CC1F05">
        <w:t>person)</w:t>
      </w:r>
    </w:p>
    <w:p w14:paraId="3B3885E0" w14:textId="1038C803" w:rsidR="00835DC8" w:rsidRPr="00575756" w:rsidRDefault="00835DC8" w:rsidP="00D42C17">
      <w:pPr>
        <w:pStyle w:val="PSC-Bullets1"/>
      </w:pPr>
      <w:r>
        <w:t>Maryanne Kelly</w:t>
      </w:r>
      <w:r w:rsidR="00AE512C">
        <w:t xml:space="preserve">, </w:t>
      </w:r>
      <w:r w:rsidR="59FAEE79">
        <w:t>A/</w:t>
      </w:r>
      <w:r w:rsidR="00AE512C">
        <w:t>Under Treasurer</w:t>
      </w:r>
      <w:r w:rsidR="00893750">
        <w:t>, Queensland Treasury</w:t>
      </w:r>
    </w:p>
    <w:p w14:paraId="49C22876" w14:textId="6D501889" w:rsidR="00B0292C" w:rsidRPr="00BC779C" w:rsidRDefault="00835DC8" w:rsidP="00D42C17">
      <w:pPr>
        <w:pStyle w:val="PSC-Bullets1"/>
      </w:pPr>
      <w:r>
        <w:t>David Mackie</w:t>
      </w:r>
      <w:r w:rsidR="007708BE">
        <w:t>, Public Sector Commissioner</w:t>
      </w:r>
      <w:r w:rsidR="00AA24A4">
        <w:t>, Public Sector Commission</w:t>
      </w:r>
      <w:r w:rsidR="1BC89093">
        <w:t xml:space="preserve">. </w:t>
      </w:r>
      <w:r w:rsidR="007708BE">
        <w:t xml:space="preserve"> </w:t>
      </w:r>
      <w:r>
        <w:t xml:space="preserve"> </w:t>
      </w:r>
    </w:p>
    <w:p w14:paraId="793838FF" w14:textId="3AF8D9BA" w:rsidR="00042389" w:rsidRDefault="00042389" w:rsidP="00F34863">
      <w:pPr>
        <w:pStyle w:val="PSCBodystrong"/>
        <w:rPr>
          <w:highlight w:val="cyan"/>
        </w:rPr>
      </w:pPr>
      <w:bookmarkStart w:id="198" w:name="_Toc141781802"/>
      <w:bookmarkStart w:id="199" w:name="_Toc141781964"/>
      <w:bookmarkStart w:id="200" w:name="_Toc144285973"/>
      <w:r>
        <w:lastRenderedPageBreak/>
        <w:t>Executive Leadership Team</w:t>
      </w:r>
      <w:bookmarkEnd w:id="195"/>
      <w:bookmarkEnd w:id="196"/>
      <w:bookmarkEnd w:id="197"/>
      <w:bookmarkEnd w:id="198"/>
      <w:bookmarkEnd w:id="199"/>
      <w:bookmarkEnd w:id="200"/>
      <w:r w:rsidR="00A14A78">
        <w:t xml:space="preserve"> </w:t>
      </w:r>
    </w:p>
    <w:p w14:paraId="2826EB9D" w14:textId="6CC51BF4" w:rsidR="00DB712B" w:rsidRDefault="005F62AF" w:rsidP="00F34863">
      <w:pPr>
        <w:pStyle w:val="PSC-Body"/>
        <w:rPr>
          <w:spacing w:val="-3"/>
        </w:rPr>
      </w:pPr>
      <w:r>
        <w:t xml:space="preserve">Chaired by the </w:t>
      </w:r>
      <w:r w:rsidR="00AA40BC">
        <w:t>Public Sector Commissioner</w:t>
      </w:r>
      <w:r>
        <w:t xml:space="preserve">, </w:t>
      </w:r>
      <w:r w:rsidR="00DB712B">
        <w:t>the Executive Leadership Team (</w:t>
      </w:r>
      <w:r w:rsidR="00042389">
        <w:rPr>
          <w:spacing w:val="-3"/>
        </w:rPr>
        <w:t>ELT</w:t>
      </w:r>
      <w:r w:rsidR="00DB712B">
        <w:rPr>
          <w:spacing w:val="-3"/>
        </w:rPr>
        <w:t>)</w:t>
      </w:r>
      <w:r>
        <w:rPr>
          <w:spacing w:val="-3"/>
        </w:rPr>
        <w:t xml:space="preserve"> oversees the strategic direction and management of the </w:t>
      </w:r>
      <w:r w:rsidR="002E0E28">
        <w:rPr>
          <w:spacing w:val="-3"/>
        </w:rPr>
        <w:t>Commission</w:t>
      </w:r>
      <w:r>
        <w:rPr>
          <w:spacing w:val="-3"/>
        </w:rPr>
        <w:t>.</w:t>
      </w:r>
      <w:r w:rsidR="00F93D96">
        <w:rPr>
          <w:spacing w:val="-3"/>
        </w:rPr>
        <w:t xml:space="preserve"> </w:t>
      </w:r>
    </w:p>
    <w:p w14:paraId="72C6B142" w14:textId="38069882" w:rsidR="005F62AF" w:rsidRPr="008D754E" w:rsidRDefault="005F62AF" w:rsidP="00886DA2">
      <w:pPr>
        <w:pStyle w:val="PSC-Body"/>
        <w:spacing w:after="0"/>
        <w:rPr>
          <w:spacing w:val="-3"/>
        </w:rPr>
      </w:pPr>
      <w:r w:rsidRPr="008D754E">
        <w:rPr>
          <w:spacing w:val="-3"/>
        </w:rPr>
        <w:t xml:space="preserve">ELT meets </w:t>
      </w:r>
      <w:r w:rsidR="002410A5">
        <w:rPr>
          <w:spacing w:val="-3"/>
        </w:rPr>
        <w:t>regularly</w:t>
      </w:r>
      <w:r w:rsidRPr="008D754E">
        <w:rPr>
          <w:spacing w:val="-3"/>
        </w:rPr>
        <w:t xml:space="preserve"> to: </w:t>
      </w:r>
    </w:p>
    <w:p w14:paraId="58C5AC5B" w14:textId="2B5D8675" w:rsidR="001C0B56" w:rsidRPr="005849AC" w:rsidRDefault="001C0B56" w:rsidP="00D42C17">
      <w:pPr>
        <w:pStyle w:val="PSC-Bullets1"/>
      </w:pPr>
      <w:r>
        <w:t xml:space="preserve">provide sound corporate governance in the delivery of business </w:t>
      </w:r>
      <w:proofErr w:type="gramStart"/>
      <w:r>
        <w:t>operations</w:t>
      </w:r>
      <w:proofErr w:type="gramEnd"/>
    </w:p>
    <w:p w14:paraId="3271F4A1" w14:textId="5F848FB1" w:rsidR="001C0B56" w:rsidRPr="005849AC" w:rsidRDefault="001C0B56" w:rsidP="00D42C17">
      <w:pPr>
        <w:pStyle w:val="PSC-Bullets1"/>
      </w:pPr>
      <w:r>
        <w:t xml:space="preserve">provide leadership and direction on the delivery of significant projects and initiatives, and ensures strategic alignment to the </w:t>
      </w:r>
      <w:r w:rsidR="002E0E28">
        <w:t xml:space="preserve">Commission’s </w:t>
      </w:r>
      <w:r>
        <w:t xml:space="preserve">vision and </w:t>
      </w:r>
      <w:proofErr w:type="gramStart"/>
      <w:r>
        <w:t>purpose</w:t>
      </w:r>
      <w:proofErr w:type="gramEnd"/>
    </w:p>
    <w:p w14:paraId="58C28899" w14:textId="7C970CE8" w:rsidR="001C0B56" w:rsidRPr="005849AC" w:rsidRDefault="001C0B56" w:rsidP="00D42C17">
      <w:pPr>
        <w:pStyle w:val="PSC-Bullets1"/>
      </w:pPr>
      <w:r>
        <w:t>share information and manage relationships across the executive leadership of the organisation.</w:t>
      </w:r>
    </w:p>
    <w:p w14:paraId="49D71924" w14:textId="69890B91" w:rsidR="00A9740A" w:rsidRDefault="00A9740A" w:rsidP="00A9740A">
      <w:pPr>
        <w:rPr>
          <w:b/>
          <w:bCs/>
        </w:rPr>
      </w:pPr>
      <w:r w:rsidRPr="00A9740A">
        <w:rPr>
          <w:b/>
          <w:bCs/>
        </w:rPr>
        <w:t>Members</w:t>
      </w:r>
    </w:p>
    <w:p w14:paraId="76AF831A" w14:textId="1B79A64E" w:rsidR="00F76DAC" w:rsidRPr="00B41792" w:rsidRDefault="00B41792" w:rsidP="00D42C17">
      <w:pPr>
        <w:pStyle w:val="PSC-Bullets1"/>
      </w:pPr>
      <w:bookmarkStart w:id="201" w:name="_Toc74055904"/>
      <w:bookmarkStart w:id="202" w:name="_Toc76549858"/>
      <w:bookmarkStart w:id="203" w:name="_Toc79493367"/>
      <w:r>
        <w:t>David Mackie, Public Sector Commissioner</w:t>
      </w:r>
    </w:p>
    <w:p w14:paraId="11B0A431" w14:textId="410F523E" w:rsidR="005F11F4" w:rsidRDefault="00B41792" w:rsidP="00D42C17">
      <w:pPr>
        <w:pStyle w:val="PSC-Bullets1"/>
      </w:pPr>
      <w:r>
        <w:t>Jenny Lang, Deputy Commissioner</w:t>
      </w:r>
    </w:p>
    <w:p w14:paraId="50371EA0" w14:textId="398AF9E8" w:rsidR="00B41792" w:rsidRDefault="00C87AEE" w:rsidP="00D42C17">
      <w:pPr>
        <w:pStyle w:val="PSC-Bullets1"/>
      </w:pPr>
      <w:r>
        <w:t xml:space="preserve">Dr </w:t>
      </w:r>
      <w:r w:rsidR="00B41792">
        <w:t xml:space="preserve">Linda Colley, </w:t>
      </w:r>
      <w:r>
        <w:t>Special Commissioner</w:t>
      </w:r>
    </w:p>
    <w:p w14:paraId="196B98F7" w14:textId="759DE265" w:rsidR="00C87AEE" w:rsidRDefault="008B5046" w:rsidP="00D42C17">
      <w:pPr>
        <w:pStyle w:val="PSC-Bullets1"/>
      </w:pPr>
      <w:r>
        <w:t>David Reed, Executive Director</w:t>
      </w:r>
      <w:r w:rsidR="00F54618">
        <w:t xml:space="preserve">, </w:t>
      </w:r>
      <w:r w:rsidR="00BA1F28">
        <w:t>Public Sector Employment Practice</w:t>
      </w:r>
    </w:p>
    <w:p w14:paraId="0A711436" w14:textId="27E7E558" w:rsidR="008B5046" w:rsidRDefault="00A049B8" w:rsidP="00D42C17">
      <w:pPr>
        <w:pStyle w:val="PSC-Bullets1"/>
      </w:pPr>
      <w:r>
        <w:t>Sandra Lerch, Executive Director</w:t>
      </w:r>
      <w:r w:rsidR="00BA1F28">
        <w:t>, Strategic Workforce Futures</w:t>
      </w:r>
    </w:p>
    <w:p w14:paraId="63B1E232" w14:textId="10CCE731" w:rsidR="00A049B8" w:rsidRPr="00B41792" w:rsidRDefault="00A049B8" w:rsidP="00D42C17">
      <w:pPr>
        <w:pStyle w:val="PSC-Bullets1"/>
      </w:pPr>
      <w:r>
        <w:t>Suzi Woodrow-Read, Executive Director</w:t>
      </w:r>
      <w:r w:rsidR="00BA1F28">
        <w:t>, Leadership and Capability</w:t>
      </w:r>
    </w:p>
    <w:p w14:paraId="3D6D5183" w14:textId="2C8F7603" w:rsidR="00042389" w:rsidRDefault="00042389" w:rsidP="00F34863">
      <w:pPr>
        <w:pStyle w:val="PSCBodystrong"/>
        <w:rPr>
          <w:highlight w:val="cyan"/>
        </w:rPr>
      </w:pPr>
      <w:bookmarkStart w:id="204" w:name="_Toc141781803"/>
      <w:bookmarkStart w:id="205" w:name="_Toc141781965"/>
      <w:bookmarkStart w:id="206" w:name="_Toc144285974"/>
      <w:r>
        <w:t>Senior Management Group</w:t>
      </w:r>
      <w:bookmarkEnd w:id="201"/>
      <w:bookmarkEnd w:id="202"/>
      <w:bookmarkEnd w:id="203"/>
      <w:bookmarkEnd w:id="204"/>
      <w:bookmarkEnd w:id="205"/>
      <w:bookmarkEnd w:id="206"/>
      <w:r w:rsidR="00235451">
        <w:t xml:space="preserve"> </w:t>
      </w:r>
    </w:p>
    <w:p w14:paraId="25DCE116" w14:textId="1CAB90FC" w:rsidR="00042389" w:rsidRPr="006F5934" w:rsidRDefault="00F93D96" w:rsidP="00886DA2">
      <w:pPr>
        <w:pStyle w:val="PSC-Body"/>
        <w:spacing w:after="0"/>
      </w:pPr>
      <w:r>
        <w:t xml:space="preserve">Chaired </w:t>
      </w:r>
      <w:r w:rsidR="4B045418">
        <w:t xml:space="preserve">on a rotational basis </w:t>
      </w:r>
      <w:r>
        <w:t xml:space="preserve">by </w:t>
      </w:r>
      <w:r w:rsidR="4B045418">
        <w:t xml:space="preserve">Directors across </w:t>
      </w:r>
      <w:r>
        <w:t xml:space="preserve">the </w:t>
      </w:r>
      <w:r w:rsidR="4B045418">
        <w:t>Commission</w:t>
      </w:r>
      <w:r w:rsidR="002D67B6">
        <w:t xml:space="preserve">, the </w:t>
      </w:r>
      <w:r w:rsidR="00DB712B">
        <w:t>Senior Management Group</w:t>
      </w:r>
      <w:r>
        <w:t xml:space="preserve"> </w:t>
      </w:r>
      <w:r w:rsidR="00B86F4F">
        <w:t xml:space="preserve">(SMG) </w:t>
      </w:r>
      <w:r>
        <w:t xml:space="preserve">meets </w:t>
      </w:r>
      <w:r w:rsidRPr="00DB712B">
        <w:t>fortnightly</w:t>
      </w:r>
      <w:r w:rsidRPr="00F93D96">
        <w:rPr>
          <w:color w:val="FF0000"/>
        </w:rPr>
        <w:t xml:space="preserve"> </w:t>
      </w:r>
      <w:r>
        <w:t>to:</w:t>
      </w:r>
    </w:p>
    <w:p w14:paraId="25B3E24F" w14:textId="7FCE0F41" w:rsidR="00042389" w:rsidRPr="005849AC" w:rsidRDefault="00042389" w:rsidP="00D42C17">
      <w:pPr>
        <w:pStyle w:val="PSC-Bullets1"/>
      </w:pPr>
      <w:r>
        <w:t>monitor progress towards delivering on strategic</w:t>
      </w:r>
      <w:r w:rsidR="2DDD679A">
        <w:t xml:space="preserve"> and operational</w:t>
      </w:r>
      <w:r>
        <w:t xml:space="preserve"> objectives and significant </w:t>
      </w:r>
      <w:proofErr w:type="gramStart"/>
      <w:r>
        <w:t>projects</w:t>
      </w:r>
      <w:proofErr w:type="gramEnd"/>
    </w:p>
    <w:p w14:paraId="00FDB7F6" w14:textId="4A0307AB" w:rsidR="00042389" w:rsidRPr="005849AC" w:rsidRDefault="00042389" w:rsidP="00D42C17">
      <w:pPr>
        <w:pStyle w:val="PSC-Bullets1"/>
      </w:pPr>
      <w:r>
        <w:t xml:space="preserve">ensure compliance with all relevant corporate governance policies, plans and </w:t>
      </w:r>
      <w:proofErr w:type="gramStart"/>
      <w:r>
        <w:t>legislation</w:t>
      </w:r>
      <w:proofErr w:type="gramEnd"/>
    </w:p>
    <w:p w14:paraId="208701E1" w14:textId="2086E23F" w:rsidR="00042389" w:rsidRPr="005849AC" w:rsidRDefault="00042389" w:rsidP="00D42C17">
      <w:pPr>
        <w:pStyle w:val="PSC-Bullets1"/>
      </w:pPr>
      <w:r>
        <w:t>manage corporate operations</w:t>
      </w:r>
      <w:r w:rsidR="0024001A">
        <w:t>,</w:t>
      </w:r>
      <w:r>
        <w:t xml:space="preserve"> including human, financial and information </w:t>
      </w:r>
      <w:proofErr w:type="gramStart"/>
      <w:r>
        <w:t>resources</w:t>
      </w:r>
      <w:proofErr w:type="gramEnd"/>
    </w:p>
    <w:p w14:paraId="765FE057" w14:textId="62673FF6" w:rsidR="00042389" w:rsidRPr="005849AC" w:rsidRDefault="00042389" w:rsidP="00D42C17">
      <w:pPr>
        <w:pStyle w:val="PSC-Bullets1"/>
      </w:pPr>
      <w:r>
        <w:t>share information and manage relationships across the leadership of the organisation.</w:t>
      </w:r>
    </w:p>
    <w:p w14:paraId="5B956ACC" w14:textId="0F4D2EEE" w:rsidR="00A9740A" w:rsidRPr="00A9740A" w:rsidRDefault="00A9740A" w:rsidP="00F34863">
      <w:pPr>
        <w:pStyle w:val="PSCBodystrong"/>
      </w:pPr>
      <w:r w:rsidRPr="00A9740A">
        <w:t>Members</w:t>
      </w:r>
    </w:p>
    <w:p w14:paraId="63CDCEF5" w14:textId="77777777" w:rsidR="0038279A" w:rsidRPr="00B41792" w:rsidRDefault="0038279A" w:rsidP="00D42C17">
      <w:pPr>
        <w:pStyle w:val="PSC-Bullets1"/>
      </w:pPr>
      <w:r>
        <w:t>David Mackie, Public Sector Commissioner</w:t>
      </w:r>
    </w:p>
    <w:p w14:paraId="69896C03" w14:textId="77777777" w:rsidR="0038279A" w:rsidRDefault="0038279A" w:rsidP="00D42C17">
      <w:pPr>
        <w:pStyle w:val="PSC-Bullets1"/>
      </w:pPr>
      <w:r>
        <w:t>Jenny Lang, Deputy Commissioner</w:t>
      </w:r>
    </w:p>
    <w:p w14:paraId="58019537" w14:textId="77777777" w:rsidR="0038279A" w:rsidRDefault="0038279A" w:rsidP="00D42C17">
      <w:pPr>
        <w:pStyle w:val="PSC-Bullets1"/>
      </w:pPr>
      <w:r>
        <w:t>Dr Linda Colley, Special Commissioner</w:t>
      </w:r>
    </w:p>
    <w:p w14:paraId="4FC64EEC" w14:textId="77777777" w:rsidR="0038279A" w:rsidRDefault="0038279A" w:rsidP="00D42C17">
      <w:pPr>
        <w:pStyle w:val="PSC-Bullets1"/>
      </w:pPr>
      <w:r>
        <w:t>David Reed, Executive Director, Public Sector Employment Practice</w:t>
      </w:r>
    </w:p>
    <w:p w14:paraId="05CE9BD0" w14:textId="77777777" w:rsidR="0038279A" w:rsidRDefault="0038279A" w:rsidP="00D42C17">
      <w:pPr>
        <w:pStyle w:val="PSC-Bullets1"/>
      </w:pPr>
      <w:r>
        <w:t>Sandra Lerch, Executive Director, Strategic Workforce Futures</w:t>
      </w:r>
    </w:p>
    <w:p w14:paraId="623C3980" w14:textId="77777777" w:rsidR="0038279A" w:rsidRPr="00B41792" w:rsidRDefault="0038279A" w:rsidP="00D42C17">
      <w:pPr>
        <w:pStyle w:val="PSC-Bullets1"/>
      </w:pPr>
      <w:r>
        <w:t>Suzi Woodrow-Read, Executive Director, Leadership and Capability</w:t>
      </w:r>
    </w:p>
    <w:p w14:paraId="6083B8F9" w14:textId="7C6BB2D2" w:rsidR="00A9740A" w:rsidRPr="00E87F56" w:rsidRDefault="0038279A" w:rsidP="00D42C17">
      <w:pPr>
        <w:pStyle w:val="PSC-Bullets1"/>
      </w:pPr>
      <w:r>
        <w:t>Business area team leaders</w:t>
      </w:r>
    </w:p>
    <w:p w14:paraId="7ABBBB7B" w14:textId="77777777" w:rsidR="000F7FB9" w:rsidRDefault="000F7FB9" w:rsidP="000F7FB9">
      <w:pPr>
        <w:pStyle w:val="PSCHeading2"/>
      </w:pPr>
      <w:bookmarkStart w:id="207" w:name="_Toc74055905"/>
      <w:bookmarkStart w:id="208" w:name="_Toc76549859"/>
      <w:bookmarkStart w:id="209" w:name="_Toc79493368"/>
      <w:bookmarkStart w:id="210" w:name="_Toc141781804"/>
      <w:bookmarkStart w:id="211" w:name="_Toc141781966"/>
      <w:bookmarkStart w:id="212" w:name="_Toc145926913"/>
      <w:bookmarkStart w:id="213" w:name="_Hlk73627259"/>
      <w:bookmarkStart w:id="214" w:name="_Toc76549860"/>
      <w:bookmarkStart w:id="215" w:name="_Toc74055906"/>
      <w:r>
        <w:t>Ethics and values</w:t>
      </w:r>
      <w:bookmarkEnd w:id="207"/>
      <w:bookmarkEnd w:id="208"/>
      <w:bookmarkEnd w:id="209"/>
      <w:bookmarkEnd w:id="210"/>
      <w:bookmarkEnd w:id="211"/>
      <w:bookmarkEnd w:id="212"/>
    </w:p>
    <w:p w14:paraId="0F146695" w14:textId="041784AD" w:rsidR="000F7FB9" w:rsidRDefault="000F7FB9" w:rsidP="00F34863">
      <w:pPr>
        <w:pStyle w:val="PSC-Body"/>
      </w:pPr>
      <w:r>
        <w:t xml:space="preserve">The Commission actively supports and promotes an ethical workplace culture. The </w:t>
      </w:r>
      <w:r w:rsidR="00E578B1">
        <w:t xml:space="preserve">Code of Conduct </w:t>
      </w:r>
      <w:r>
        <w:t xml:space="preserve">is based on the principles outlined in the </w:t>
      </w:r>
      <w:r w:rsidRPr="41BF1D54">
        <w:rPr>
          <w:i/>
          <w:iCs/>
        </w:rPr>
        <w:t xml:space="preserve">Public Sector Ethics Act 1994 </w:t>
      </w:r>
      <w:r>
        <w:t>(PSE Act). It applies to all employees</w:t>
      </w:r>
      <w:r w:rsidR="00E8613E">
        <w:t>. The Code</w:t>
      </w:r>
      <w:r w:rsidR="0020370B">
        <w:t xml:space="preserve"> </w:t>
      </w:r>
      <w:r>
        <w:t>guides our behaviour and how we undertake our business as a public sector agency. Employees can access the Code of Conduct and supporting resources through our intranet.</w:t>
      </w:r>
    </w:p>
    <w:p w14:paraId="1132095D" w14:textId="4E02B38C" w:rsidR="006A79DF" w:rsidRDefault="006A79DF" w:rsidP="00F34863">
      <w:pPr>
        <w:pStyle w:val="PSC-Body"/>
      </w:pPr>
      <w:r>
        <w:t>New employees are required to complete the n</w:t>
      </w:r>
      <w:r w:rsidRPr="005C6418">
        <w:t>ew starter induction program</w:t>
      </w:r>
      <w:r>
        <w:t xml:space="preserve"> to understand policy requirements, employee obligations and expected workplace behaviours.</w:t>
      </w:r>
      <w:r>
        <w:rPr>
          <w:spacing w:val="-13"/>
        </w:rPr>
        <w:t xml:space="preserve"> </w:t>
      </w:r>
      <w:r>
        <w:rPr>
          <w:spacing w:val="-3"/>
        </w:rPr>
        <w:t>Team</w:t>
      </w:r>
      <w:r>
        <w:rPr>
          <w:spacing w:val="-10"/>
        </w:rPr>
        <w:t xml:space="preserve"> </w:t>
      </w:r>
      <w:r>
        <w:t>leaders</w:t>
      </w:r>
      <w:r>
        <w:rPr>
          <w:spacing w:val="-11"/>
        </w:rPr>
        <w:t xml:space="preserve"> also </w:t>
      </w:r>
      <w:r>
        <w:t>incorporate</w:t>
      </w:r>
      <w:r>
        <w:rPr>
          <w:spacing w:val="-9"/>
        </w:rPr>
        <w:t xml:space="preserve"> </w:t>
      </w:r>
      <w:r>
        <w:t>these</w:t>
      </w:r>
      <w:r>
        <w:rPr>
          <w:spacing w:val="-10"/>
        </w:rPr>
        <w:t xml:space="preserve"> </w:t>
      </w:r>
      <w:r>
        <w:t xml:space="preserve">expectations into the ongoing cycle of employees’ </w:t>
      </w:r>
      <w:r w:rsidRPr="00212AAD">
        <w:t>performance and development</w:t>
      </w:r>
      <w:r w:rsidR="00C739E0" w:rsidRPr="00212AAD">
        <w:t xml:space="preserve"> </w:t>
      </w:r>
      <w:r w:rsidR="00D734E6" w:rsidRPr="00212AAD">
        <w:t xml:space="preserve">agreement </w:t>
      </w:r>
      <w:r w:rsidR="00C739E0" w:rsidRPr="00212AAD">
        <w:t>review</w:t>
      </w:r>
      <w:r w:rsidR="000F042B" w:rsidRPr="00212AAD">
        <w:t>s</w:t>
      </w:r>
      <w:r>
        <w:t>.</w:t>
      </w:r>
    </w:p>
    <w:p w14:paraId="607989EB" w14:textId="5C8B97D8" w:rsidR="00A022B2" w:rsidRDefault="000F7FB9" w:rsidP="00F34863">
      <w:pPr>
        <w:pStyle w:val="PSC-Body"/>
      </w:pPr>
      <w:r>
        <w:t xml:space="preserve">As </w:t>
      </w:r>
      <w:r w:rsidRPr="00FD5250">
        <w:t>custodian of the PSE Act, the Commission also</w:t>
      </w:r>
      <w:r w:rsidR="008F369E" w:rsidRPr="00FD5250">
        <w:t xml:space="preserve"> </w:t>
      </w:r>
      <w:bookmarkStart w:id="216" w:name="_Toc79493369"/>
      <w:bookmarkEnd w:id="213"/>
      <w:r w:rsidR="6F310E8A" w:rsidRPr="00E74831">
        <w:t>has an ongoing role to enhance and promote an ethical culture and ethical decision-making across the sector. One way we meet this responsibility is through the community of practice of ethical behaviour</w:t>
      </w:r>
      <w:r w:rsidR="00DD06FB" w:rsidRPr="00E74831">
        <w:t xml:space="preserve">. In the past </w:t>
      </w:r>
      <w:r w:rsidR="00741641" w:rsidRPr="00E74831">
        <w:t>12</w:t>
      </w:r>
      <w:r w:rsidR="00DD06FB" w:rsidRPr="00E74831">
        <w:t xml:space="preserve"> months </w:t>
      </w:r>
      <w:r w:rsidR="00741641" w:rsidRPr="00E74831">
        <w:t>four</w:t>
      </w:r>
      <w:r w:rsidR="00DD06FB" w:rsidRPr="00E74831">
        <w:t xml:space="preserve"> meetings </w:t>
      </w:r>
      <w:r w:rsidR="004156EB" w:rsidRPr="00E74831">
        <w:t xml:space="preserve">were </w:t>
      </w:r>
      <w:r w:rsidR="00DD06FB" w:rsidRPr="00E74831">
        <w:t>held</w:t>
      </w:r>
      <w:r w:rsidR="00C747BA" w:rsidRPr="00E74831">
        <w:t xml:space="preserve"> and regular e-newsletters sent to </w:t>
      </w:r>
      <w:r w:rsidR="79656842">
        <w:t>member</w:t>
      </w:r>
      <w:r w:rsidR="10B1380F">
        <w:t>s</w:t>
      </w:r>
      <w:r w:rsidR="00C747BA" w:rsidRPr="00E74831">
        <w:t xml:space="preserve"> with information on key or emerging ethical issues </w:t>
      </w:r>
      <w:r w:rsidR="00C31ED9" w:rsidRPr="00E74831">
        <w:t xml:space="preserve">and best practice approaches. </w:t>
      </w:r>
      <w:r w:rsidR="00C747BA" w:rsidRPr="00E74831">
        <w:t xml:space="preserve"> </w:t>
      </w:r>
    </w:p>
    <w:p w14:paraId="2EA1ED13" w14:textId="0B8DB23C" w:rsidR="00CE5481" w:rsidRDefault="00940ED3" w:rsidP="00A9740A">
      <w:pPr>
        <w:pStyle w:val="PSCHeading2"/>
      </w:pPr>
      <w:bookmarkStart w:id="217" w:name="_Toc141781805"/>
      <w:bookmarkStart w:id="218" w:name="_Toc141781967"/>
      <w:bookmarkStart w:id="219" w:name="_Toc145926914"/>
      <w:r>
        <w:t>Human rights</w:t>
      </w:r>
      <w:bookmarkEnd w:id="214"/>
      <w:bookmarkEnd w:id="216"/>
      <w:bookmarkEnd w:id="217"/>
      <w:bookmarkEnd w:id="218"/>
      <w:bookmarkEnd w:id="219"/>
      <w:r>
        <w:t xml:space="preserve"> </w:t>
      </w:r>
      <w:bookmarkEnd w:id="215"/>
    </w:p>
    <w:p w14:paraId="7DBAEC7A" w14:textId="15F6BD08" w:rsidR="00BC16B2" w:rsidRDefault="00F13F52" w:rsidP="00F34863">
      <w:pPr>
        <w:pStyle w:val="PSC-Body"/>
      </w:pPr>
      <w:bookmarkStart w:id="220" w:name="_Hlk73956450"/>
      <w:r>
        <w:t xml:space="preserve">The </w:t>
      </w:r>
      <w:r w:rsidR="00071EFC">
        <w:t>Commission</w:t>
      </w:r>
      <w:r>
        <w:t xml:space="preserve"> continues to respect, </w:t>
      </w:r>
      <w:proofErr w:type="gramStart"/>
      <w:r>
        <w:t>protect</w:t>
      </w:r>
      <w:proofErr w:type="gramEnd"/>
      <w:r>
        <w:t xml:space="preserve"> and promote the inherent dignity and worth of all Queenslanders, and build </w:t>
      </w:r>
      <w:r w:rsidR="00A4379A">
        <w:t>a</w:t>
      </w:r>
      <w:r w:rsidR="00BC16B2">
        <w:t xml:space="preserve"> culture of human rights within </w:t>
      </w:r>
      <w:r w:rsidR="00071EFC">
        <w:t>our agency</w:t>
      </w:r>
      <w:r w:rsidR="00BC16B2">
        <w:t xml:space="preserve"> and across the sector. </w:t>
      </w:r>
    </w:p>
    <w:p w14:paraId="672FE4C1" w14:textId="1880F6FB" w:rsidR="00F13F52" w:rsidRDefault="00F13F52" w:rsidP="00F34863">
      <w:pPr>
        <w:pStyle w:val="PSC-Body"/>
      </w:pPr>
      <w:r>
        <w:t xml:space="preserve">As a public sector agency, we actively promote and implement the </w:t>
      </w:r>
      <w:r w:rsidR="00940ED3" w:rsidRPr="00CE5481">
        <w:rPr>
          <w:i/>
          <w:iCs/>
        </w:rPr>
        <w:t>Human Rights Act 2019</w:t>
      </w:r>
      <w:r w:rsidR="00A4379A">
        <w:t xml:space="preserve">. </w:t>
      </w:r>
    </w:p>
    <w:p w14:paraId="69EDDCFD" w14:textId="1B11AEFD" w:rsidR="004012F6" w:rsidRPr="004F3998" w:rsidRDefault="004012F6" w:rsidP="00F34863">
      <w:pPr>
        <w:pStyle w:val="PSC-Body"/>
      </w:pPr>
      <w:r>
        <w:lastRenderedPageBreak/>
        <w:t xml:space="preserve">Across the sector, </w:t>
      </w:r>
      <w:r w:rsidR="22F3A0E8">
        <w:t>we continued</w:t>
      </w:r>
      <w:r>
        <w:t xml:space="preserve"> to integrate human rights into the development of policy and programs and through our interactions with stakeholders</w:t>
      </w:r>
      <w:r w:rsidR="0055395C">
        <w:t>.</w:t>
      </w:r>
    </w:p>
    <w:p w14:paraId="05C0716C" w14:textId="34E79A13" w:rsidR="00F13F52" w:rsidRPr="001548E4" w:rsidRDefault="00DB712B" w:rsidP="00F34863">
      <w:pPr>
        <w:pStyle w:val="PSC-Body"/>
      </w:pPr>
      <w:r w:rsidRPr="00E74831">
        <w:t xml:space="preserve">The </w:t>
      </w:r>
      <w:r w:rsidR="00CA7D08" w:rsidRPr="00E74831">
        <w:t xml:space="preserve">Commission </w:t>
      </w:r>
      <w:r w:rsidRPr="00E74831">
        <w:t xml:space="preserve">did not receive any </w:t>
      </w:r>
      <w:r w:rsidR="00F13F52" w:rsidRPr="00E74831">
        <w:t>human rights complaints in relation to our actions or activities</w:t>
      </w:r>
      <w:r w:rsidRPr="00E74831">
        <w:t xml:space="preserve"> during 202</w:t>
      </w:r>
      <w:r w:rsidR="00890947" w:rsidRPr="00E74831">
        <w:t>2</w:t>
      </w:r>
      <w:r w:rsidRPr="00E74831">
        <w:t>–2</w:t>
      </w:r>
      <w:r w:rsidR="00890947" w:rsidRPr="00E74831">
        <w:t>3</w:t>
      </w:r>
      <w:r w:rsidRPr="00216C55">
        <w:t>.</w:t>
      </w:r>
      <w:r>
        <w:t xml:space="preserve"> </w:t>
      </w:r>
    </w:p>
    <w:p w14:paraId="375C51D3" w14:textId="106ABCAD" w:rsidR="00042389" w:rsidRDefault="00042389" w:rsidP="00A9740A">
      <w:pPr>
        <w:pStyle w:val="PSCHeading2"/>
      </w:pPr>
      <w:bookmarkStart w:id="221" w:name="_Toc79493370"/>
      <w:bookmarkStart w:id="222" w:name="_Toc145926915"/>
      <w:bookmarkStart w:id="223" w:name="_Toc74055907"/>
      <w:bookmarkStart w:id="224" w:name="_Toc76549861"/>
      <w:bookmarkStart w:id="225" w:name="_Toc141781806"/>
      <w:bookmarkStart w:id="226" w:name="_Toc141781968"/>
      <w:bookmarkEnd w:id="220"/>
      <w:r>
        <w:t>Risk management</w:t>
      </w:r>
      <w:bookmarkEnd w:id="221"/>
      <w:bookmarkEnd w:id="222"/>
      <w:r w:rsidR="00A0032B">
        <w:t xml:space="preserve"> </w:t>
      </w:r>
      <w:bookmarkEnd w:id="223"/>
      <w:bookmarkEnd w:id="224"/>
      <w:bookmarkEnd w:id="225"/>
      <w:bookmarkEnd w:id="226"/>
    </w:p>
    <w:p w14:paraId="7354B8E0" w14:textId="22CE5354" w:rsidR="00B87203" w:rsidRDefault="00844F2F" w:rsidP="004C2944">
      <w:pPr>
        <w:pStyle w:val="PSC-Body"/>
      </w:pPr>
      <w:r>
        <w:t>The Commission is covered by</w:t>
      </w:r>
      <w:r w:rsidR="00216C55">
        <w:t xml:space="preserve"> DPC’s</w:t>
      </w:r>
      <w:r w:rsidR="00E40DEC">
        <w:t xml:space="preserve"> </w:t>
      </w:r>
      <w:r w:rsidRPr="004C2944">
        <w:rPr>
          <w:i/>
        </w:rPr>
        <w:t>Risk management framework</w:t>
      </w:r>
      <w:r w:rsidR="00DB712B">
        <w:t>,</w:t>
      </w:r>
      <w:r w:rsidRPr="00B87203">
        <w:t xml:space="preserve"> </w:t>
      </w:r>
      <w:r w:rsidR="00B87203">
        <w:t xml:space="preserve">which </w:t>
      </w:r>
      <w:r w:rsidR="00526F04">
        <w:t xml:space="preserve">is consistent with the principles set out in </w:t>
      </w:r>
      <w:r w:rsidRPr="004C2944">
        <w:rPr>
          <w:i/>
        </w:rPr>
        <w:t>AS/NZS ISO 31000:2018</w:t>
      </w:r>
      <w:r w:rsidR="00526F04" w:rsidRPr="004C2944">
        <w:rPr>
          <w:i/>
        </w:rPr>
        <w:t xml:space="preserve"> Risk management – principles and guidelines</w:t>
      </w:r>
      <w:r w:rsidR="00526F04" w:rsidRPr="00CA7D08">
        <w:t>.</w:t>
      </w:r>
    </w:p>
    <w:p w14:paraId="5ACF79E9" w14:textId="663FA9D2" w:rsidR="00526F04" w:rsidRPr="00F9180F" w:rsidRDefault="00526F04" w:rsidP="004C2944">
      <w:pPr>
        <w:pStyle w:val="PSC-Body"/>
      </w:pPr>
      <w:r>
        <w:t xml:space="preserve">The </w:t>
      </w:r>
      <w:r w:rsidR="00AA40BC">
        <w:t>Public Sector Commissioner</w:t>
      </w:r>
      <w:r>
        <w:t xml:space="preserve"> has also established appropriate systems of internal control and risk </w:t>
      </w:r>
      <w:r w:rsidRPr="00F9180F">
        <w:t xml:space="preserve">management in accordance with </w:t>
      </w:r>
      <w:r w:rsidRPr="004C2944">
        <w:rPr>
          <w:i/>
        </w:rPr>
        <w:t>the Financial Accountability Act 2009</w:t>
      </w:r>
      <w:r w:rsidRPr="00F9180F">
        <w:t xml:space="preserve">. </w:t>
      </w:r>
    </w:p>
    <w:p w14:paraId="2E538BAC" w14:textId="3A36DCE3" w:rsidR="00042389" w:rsidRPr="00F9180F" w:rsidRDefault="00042389" w:rsidP="004C2944">
      <w:pPr>
        <w:pStyle w:val="PSCBodystrong"/>
      </w:pPr>
      <w:bookmarkStart w:id="227" w:name="_Toc74055908"/>
      <w:bookmarkStart w:id="228" w:name="_Toc76549862"/>
      <w:bookmarkStart w:id="229" w:name="_Toc79493371"/>
      <w:bookmarkStart w:id="230" w:name="_Toc141781807"/>
      <w:bookmarkStart w:id="231" w:name="_Toc141781969"/>
      <w:bookmarkStart w:id="232" w:name="_Toc144285978"/>
      <w:r>
        <w:t xml:space="preserve">Audit and </w:t>
      </w:r>
      <w:r w:rsidR="005C6418">
        <w:t>r</w:t>
      </w:r>
      <w:r>
        <w:t xml:space="preserve">isk </w:t>
      </w:r>
      <w:r w:rsidR="005C6418">
        <w:t>m</w:t>
      </w:r>
      <w:r>
        <w:t xml:space="preserve">anagement </w:t>
      </w:r>
      <w:r w:rsidR="005C6418">
        <w:t>c</w:t>
      </w:r>
      <w:r>
        <w:t>ommittee</w:t>
      </w:r>
      <w:bookmarkEnd w:id="227"/>
      <w:bookmarkEnd w:id="228"/>
      <w:bookmarkEnd w:id="229"/>
      <w:bookmarkEnd w:id="230"/>
      <w:bookmarkEnd w:id="231"/>
      <w:bookmarkEnd w:id="232"/>
    </w:p>
    <w:p w14:paraId="4561297B" w14:textId="259CE15B" w:rsidR="005755D8" w:rsidRPr="00F9180F" w:rsidRDefault="005755D8" w:rsidP="00886DA2">
      <w:pPr>
        <w:pStyle w:val="PSC-Body"/>
        <w:spacing w:after="0"/>
      </w:pPr>
      <w:r w:rsidRPr="00F9180F">
        <w:t xml:space="preserve">The Audit and Risk Management Committee (ARMC) supports the </w:t>
      </w:r>
      <w:r w:rsidR="00AA40BC" w:rsidRPr="00F9180F">
        <w:t>Public Sector Commissioner</w:t>
      </w:r>
      <w:r w:rsidRPr="00F9180F">
        <w:t xml:space="preserve"> to meet responsibilities under the: </w:t>
      </w:r>
    </w:p>
    <w:p w14:paraId="3B811ACB" w14:textId="77777777" w:rsidR="005755D8" w:rsidRPr="005F7F52" w:rsidRDefault="005755D8" w:rsidP="41BF1D54">
      <w:pPr>
        <w:pStyle w:val="PSC-Bullets1"/>
        <w:rPr>
          <w:i/>
          <w:iCs/>
        </w:rPr>
      </w:pPr>
      <w:r w:rsidRPr="005F7F52">
        <w:rPr>
          <w:i/>
          <w:iCs/>
        </w:rPr>
        <w:t xml:space="preserve">Financial Accountability Act 2009 </w:t>
      </w:r>
    </w:p>
    <w:p w14:paraId="62ED9FAE" w14:textId="77777777" w:rsidR="005755D8" w:rsidRPr="00F9180F" w:rsidRDefault="005755D8" w:rsidP="00A96496">
      <w:pPr>
        <w:pStyle w:val="PSC-Bullets1"/>
      </w:pPr>
      <w:r>
        <w:t xml:space="preserve">Financial and Performance Management Standard 2019 (the Standard). </w:t>
      </w:r>
    </w:p>
    <w:p w14:paraId="71C566EC" w14:textId="5F29B6D4" w:rsidR="2A3C2FE1" w:rsidRDefault="2A3C2FE1" w:rsidP="004C2944">
      <w:pPr>
        <w:pStyle w:val="PSC-Body"/>
      </w:pPr>
      <w:r w:rsidRPr="41BF1D54">
        <w:t>The ARMC is a joint committee between the Commission and DPC.</w:t>
      </w:r>
      <w:r w:rsidR="00E605CE">
        <w:t xml:space="preserve"> The Deputy Commissioner, </w:t>
      </w:r>
      <w:r w:rsidR="00872C05">
        <w:t xml:space="preserve">the Commission is a member of the ARMC. </w:t>
      </w:r>
    </w:p>
    <w:p w14:paraId="2EF2503E" w14:textId="1B0A2388" w:rsidR="00B163C2" w:rsidRPr="00F9180F" w:rsidRDefault="00042389" w:rsidP="00886DA2">
      <w:pPr>
        <w:pStyle w:val="PSC-Body"/>
        <w:spacing w:after="0"/>
      </w:pPr>
      <w:r w:rsidRPr="00F9180F">
        <w:t>During 20</w:t>
      </w:r>
      <w:r w:rsidR="00940ED3" w:rsidRPr="00F9180F">
        <w:t>2</w:t>
      </w:r>
      <w:r w:rsidR="00C84A5E" w:rsidRPr="00F9180F">
        <w:t>2</w:t>
      </w:r>
      <w:r w:rsidRPr="00F9180F">
        <w:t>–2</w:t>
      </w:r>
      <w:r w:rsidR="00C84A5E" w:rsidRPr="00F9180F">
        <w:t>3</w:t>
      </w:r>
      <w:r w:rsidRPr="00F9180F">
        <w:t xml:space="preserve">, </w:t>
      </w:r>
      <w:r w:rsidR="00B163C2" w:rsidRPr="00F9180F">
        <w:t>ARMC met</w:t>
      </w:r>
      <w:r w:rsidR="00135413" w:rsidRPr="00F9180F">
        <w:t xml:space="preserve"> four </w:t>
      </w:r>
      <w:r w:rsidR="00B163C2" w:rsidRPr="00F9180F">
        <w:t>times</w:t>
      </w:r>
      <w:r w:rsidR="00EE0AA0" w:rsidRPr="00F9180F">
        <w:t xml:space="preserve"> </w:t>
      </w:r>
      <w:r w:rsidR="4D4BEC52" w:rsidRPr="00F9180F">
        <w:t>with the following governance issues considered</w:t>
      </w:r>
      <w:r w:rsidR="00EE0AA0" w:rsidRPr="00F9180F">
        <w:t>:</w:t>
      </w:r>
      <w:r w:rsidR="00B163C2" w:rsidRPr="00F9180F">
        <w:t xml:space="preserve"> </w:t>
      </w:r>
    </w:p>
    <w:p w14:paraId="159463F7" w14:textId="7E56EEAC" w:rsidR="001B20C1" w:rsidRPr="009021B4" w:rsidRDefault="61B6DC9E" w:rsidP="00A96496">
      <w:pPr>
        <w:pStyle w:val="PSC-Bullets1"/>
      </w:pPr>
      <w:r>
        <w:t>Internal and external audit plans and reports</w:t>
      </w:r>
    </w:p>
    <w:p w14:paraId="2A5956E2" w14:textId="12B9865E" w:rsidR="001B20C1" w:rsidRPr="009021B4" w:rsidRDefault="61B6DC9E" w:rsidP="00A96496">
      <w:pPr>
        <w:pStyle w:val="PSC-Bullets1"/>
      </w:pPr>
      <w:r>
        <w:t>Financial statements</w:t>
      </w:r>
    </w:p>
    <w:p w14:paraId="4A59ACAD" w14:textId="74582431" w:rsidR="001B20C1" w:rsidRPr="009021B4" w:rsidRDefault="61B6DC9E" w:rsidP="00A96496">
      <w:pPr>
        <w:pStyle w:val="PSC-Bullets1"/>
      </w:pPr>
      <w:r>
        <w:t>Corporate governance arrangements and activities</w:t>
      </w:r>
    </w:p>
    <w:p w14:paraId="171A9768" w14:textId="6F01DAF1" w:rsidR="001B20C1" w:rsidRPr="009021B4" w:rsidRDefault="61B6DC9E" w:rsidP="00A96496">
      <w:pPr>
        <w:pStyle w:val="PSC-Bullets1"/>
      </w:pPr>
      <w:r>
        <w:t>Risk management and emerging areas of risk</w:t>
      </w:r>
    </w:p>
    <w:p w14:paraId="69BF958E" w14:textId="0A5CCBBC" w:rsidR="003F41B7" w:rsidRPr="00F9180F" w:rsidRDefault="2F59F98B" w:rsidP="00A96496">
      <w:pPr>
        <w:pStyle w:val="PSC-Bullets1"/>
      </w:pPr>
      <w:r>
        <w:t>Cyber and information security</w:t>
      </w:r>
      <w:r w:rsidR="002552B9">
        <w:t>.</w:t>
      </w:r>
    </w:p>
    <w:p w14:paraId="66BB158D" w14:textId="7740477F" w:rsidR="00646663" w:rsidRPr="00F9180F" w:rsidRDefault="00EE0AA0" w:rsidP="00886DA2">
      <w:pPr>
        <w:pStyle w:val="PSC-Body"/>
        <w:spacing w:after="0"/>
      </w:pPr>
      <w:r>
        <w:t>The following roles were provided with a standing invitation to attend all meetings as observers:</w:t>
      </w:r>
    </w:p>
    <w:p w14:paraId="427CE725" w14:textId="7803DDD4" w:rsidR="00A9740A" w:rsidRPr="00F9180F" w:rsidRDefault="00A9740A" w:rsidP="00A96496">
      <w:pPr>
        <w:pStyle w:val="PSC-Bullets1"/>
      </w:pPr>
      <w:r>
        <w:t>Director-General, DPC</w:t>
      </w:r>
    </w:p>
    <w:p w14:paraId="689D01D9" w14:textId="28CDAD8F" w:rsidR="00A9740A" w:rsidRPr="009021B4" w:rsidRDefault="00621537" w:rsidP="00A96496">
      <w:pPr>
        <w:pStyle w:val="PSC-Bullets1"/>
      </w:pPr>
      <w:r>
        <w:t>Public Sector Commissioner</w:t>
      </w:r>
      <w:r w:rsidR="00A9740A">
        <w:t xml:space="preserve">, </w:t>
      </w:r>
      <w:r w:rsidR="00504D08">
        <w:t>the Commission</w:t>
      </w:r>
    </w:p>
    <w:p w14:paraId="23E4825C" w14:textId="1353B973" w:rsidR="00A9740A" w:rsidRPr="005A696E" w:rsidRDefault="00A9740A" w:rsidP="00A96496">
      <w:pPr>
        <w:pStyle w:val="PSC-Bullets1"/>
      </w:pPr>
      <w:r>
        <w:t>General Manager, Corporate and Government Services, DPC</w:t>
      </w:r>
    </w:p>
    <w:p w14:paraId="7186C904" w14:textId="28327002" w:rsidR="005C6418" w:rsidRPr="005A696E" w:rsidRDefault="00A9740A" w:rsidP="00A96496">
      <w:pPr>
        <w:pStyle w:val="PSC-Bullets1"/>
      </w:pPr>
      <w:r>
        <w:t xml:space="preserve">Chief </w:t>
      </w:r>
      <w:r w:rsidR="49BF3F54">
        <w:t>Finance</w:t>
      </w:r>
      <w:r>
        <w:t xml:space="preserve"> Officer, DPC</w:t>
      </w:r>
    </w:p>
    <w:p w14:paraId="65119C4A" w14:textId="4D516405" w:rsidR="000F7FB9" w:rsidRPr="005A696E" w:rsidRDefault="00A9740A" w:rsidP="00A96496">
      <w:pPr>
        <w:pStyle w:val="PSC-Bullets1"/>
      </w:pPr>
      <w:r>
        <w:t>Chief Information Officer, DPC</w:t>
      </w:r>
    </w:p>
    <w:p w14:paraId="11EE1783" w14:textId="2E4F61C4" w:rsidR="00A9740A" w:rsidRPr="005A696E" w:rsidRDefault="00A9740A" w:rsidP="00A96496">
      <w:pPr>
        <w:pStyle w:val="PSC-Bullets1"/>
      </w:pPr>
      <w:r>
        <w:t>Director, Internal Audit and Risk Services, DPC</w:t>
      </w:r>
    </w:p>
    <w:p w14:paraId="42B0AE0D" w14:textId="5C66857F" w:rsidR="00A9740A" w:rsidRPr="005A696E" w:rsidRDefault="00A9740A" w:rsidP="00A96496">
      <w:pPr>
        <w:pStyle w:val="PSC-Bullets1"/>
      </w:pPr>
      <w:r>
        <w:t>Director, Corporate Governance, DPC</w:t>
      </w:r>
    </w:p>
    <w:p w14:paraId="1E39A85D" w14:textId="1F0770C7" w:rsidR="00A9740A" w:rsidRPr="005A696E" w:rsidRDefault="407EBF8A" w:rsidP="00A96496">
      <w:pPr>
        <w:pStyle w:val="PSC-Bullets1"/>
      </w:pPr>
      <w:r>
        <w:t>Director</w:t>
      </w:r>
      <w:r w:rsidR="00A9740A">
        <w:t xml:space="preserve">, Governance and Business Services, </w:t>
      </w:r>
      <w:r w:rsidR="00504D08">
        <w:t>the Commission</w:t>
      </w:r>
    </w:p>
    <w:p w14:paraId="329E92EC" w14:textId="38751A6A" w:rsidR="00A9740A" w:rsidRPr="005A696E" w:rsidRDefault="00A9740A" w:rsidP="00A96496">
      <w:pPr>
        <w:pStyle w:val="PSC-Bullets1"/>
      </w:pPr>
      <w:r>
        <w:t>Queensland Audit Office representative</w:t>
      </w:r>
    </w:p>
    <w:p w14:paraId="5E72603C" w14:textId="4C191068" w:rsidR="00A9740A" w:rsidRPr="005A696E" w:rsidRDefault="00A9740A" w:rsidP="00A96496">
      <w:pPr>
        <w:pStyle w:val="PSC-Bullets1"/>
      </w:pPr>
      <w:r>
        <w:t>Internal audit service provider representative</w:t>
      </w:r>
      <w:r w:rsidR="738E1651">
        <w:t>.</w:t>
      </w:r>
    </w:p>
    <w:p w14:paraId="56D23857" w14:textId="53D5D628" w:rsidR="517ED126" w:rsidRDefault="517ED126" w:rsidP="00955824">
      <w:pPr>
        <w:pStyle w:val="PSC-Body"/>
      </w:pPr>
      <w:r w:rsidRPr="517ED126">
        <w:t>As required by section 30(2) of the Standard, the terms of reference outline the role of the ARMC.  During 202</w:t>
      </w:r>
      <w:r w:rsidR="00142B24">
        <w:t>2</w:t>
      </w:r>
      <w:r w:rsidR="005A55DB">
        <w:t>–</w:t>
      </w:r>
      <w:r w:rsidRPr="517ED126">
        <w:t>2</w:t>
      </w:r>
      <w:r w:rsidR="00142B24">
        <w:t>3</w:t>
      </w:r>
      <w:r w:rsidRPr="517ED126">
        <w:t xml:space="preserve">, the committee members observed the requirements of the ARMC terms of reference and had due regard to </w:t>
      </w:r>
      <w:r w:rsidR="0069574D">
        <w:t>QT’s</w:t>
      </w:r>
      <w:r w:rsidRPr="517ED126">
        <w:t xml:space="preserve"> </w:t>
      </w:r>
      <w:r w:rsidRPr="517ED126">
        <w:rPr>
          <w:i/>
          <w:iCs/>
        </w:rPr>
        <w:t>Audit Committee Guidelines – Improving Accountability and Performance 2020.</w:t>
      </w:r>
    </w:p>
    <w:p w14:paraId="614EADE5" w14:textId="77777777" w:rsidR="0055687F" w:rsidRDefault="517ED126" w:rsidP="00955824">
      <w:pPr>
        <w:pStyle w:val="PSC-Body"/>
      </w:pPr>
      <w:r w:rsidRPr="517ED126">
        <w:t xml:space="preserve">ARMC’s role is to provide independent assurance and assistance to the </w:t>
      </w:r>
      <w:r w:rsidR="0003183F">
        <w:t>Public Sector Commissioner</w:t>
      </w:r>
      <w:r w:rsidRPr="517ED126">
        <w:t xml:space="preserve"> on the governance, risk, control, compliance and performance management frameworks and the Commission’s external accountability responsibilities.</w:t>
      </w:r>
    </w:p>
    <w:p w14:paraId="50402B46" w14:textId="0853864A" w:rsidR="517ED126" w:rsidRDefault="0055687F" w:rsidP="00430617">
      <w:pPr>
        <w:pStyle w:val="PSC-Body"/>
        <w:spacing w:after="0"/>
      </w:pPr>
      <w:r>
        <w:t>ARMC’s</w:t>
      </w:r>
      <w:r w:rsidR="517ED126" w:rsidRPr="517ED126">
        <w:t xml:space="preserve"> </w:t>
      </w:r>
      <w:r>
        <w:t>r</w:t>
      </w:r>
      <w:r w:rsidR="517ED126" w:rsidRPr="517ED126">
        <w:t>esponsibilities include overseeing the:</w:t>
      </w:r>
    </w:p>
    <w:p w14:paraId="05926C94" w14:textId="2C4166F1" w:rsidR="517ED126" w:rsidRDefault="517ED126" w:rsidP="00A96496">
      <w:pPr>
        <w:pStyle w:val="PSC-Bullets1"/>
      </w:pPr>
      <w:r>
        <w:t>annual financial statements</w:t>
      </w:r>
      <w:r w:rsidR="000E07E6">
        <w:t xml:space="preserve"> including</w:t>
      </w:r>
      <w:r w:rsidR="00095A61">
        <w:t xml:space="preserve"> </w:t>
      </w:r>
      <w:r>
        <w:t xml:space="preserve">ensuring </w:t>
      </w:r>
      <w:r w:rsidR="000E07E6">
        <w:t xml:space="preserve">the </w:t>
      </w:r>
      <w:r>
        <w:t xml:space="preserve">appropriateness of accounting policies and management </w:t>
      </w:r>
      <w:proofErr w:type="gramStart"/>
      <w:r>
        <w:t>assumptions</w:t>
      </w:r>
      <w:proofErr w:type="gramEnd"/>
    </w:p>
    <w:p w14:paraId="77686502" w14:textId="256F1ACD" w:rsidR="517ED126" w:rsidRDefault="517ED126" w:rsidP="00A96496">
      <w:pPr>
        <w:pStyle w:val="PSC-Bullets1"/>
      </w:pPr>
      <w:r>
        <w:t>development and progress of the internal audit plan and audit findings</w:t>
      </w:r>
    </w:p>
    <w:p w14:paraId="2AB34871" w14:textId="585B08DD" w:rsidR="517ED126" w:rsidRDefault="517ED126" w:rsidP="00A96496">
      <w:pPr>
        <w:pStyle w:val="PSC-Bullets1"/>
      </w:pPr>
      <w:r>
        <w:t>external audit reports</w:t>
      </w:r>
    </w:p>
    <w:p w14:paraId="27E833EF" w14:textId="5FB9D9EB" w:rsidR="517ED126" w:rsidRDefault="517ED126" w:rsidP="00A96496">
      <w:pPr>
        <w:pStyle w:val="PSC-Bullets1"/>
      </w:pPr>
      <w:r>
        <w:t>Risk Management Framework</w:t>
      </w:r>
    </w:p>
    <w:p w14:paraId="662A493D" w14:textId="1B19CE05" w:rsidR="517ED126" w:rsidRDefault="517ED126" w:rsidP="00A96496">
      <w:pPr>
        <w:pStyle w:val="PSC-Bullets1"/>
      </w:pPr>
      <w:r>
        <w:t>performance, monitoring and reporting activities.</w:t>
      </w:r>
    </w:p>
    <w:p w14:paraId="2D78149A" w14:textId="60228C6D" w:rsidR="007E0C63" w:rsidRDefault="007E0C63" w:rsidP="00A9740A">
      <w:pPr>
        <w:pStyle w:val="PSCHeading2"/>
      </w:pPr>
      <w:bookmarkStart w:id="233" w:name="_Toc74055909"/>
      <w:bookmarkStart w:id="234" w:name="_Toc76549863"/>
      <w:bookmarkStart w:id="235" w:name="_Toc79493372"/>
      <w:bookmarkStart w:id="236" w:name="_Toc141781808"/>
      <w:bookmarkStart w:id="237" w:name="_Toc141781970"/>
      <w:bookmarkStart w:id="238" w:name="_Toc145926916"/>
      <w:r>
        <w:t>Internal audit</w:t>
      </w:r>
      <w:bookmarkEnd w:id="233"/>
      <w:bookmarkEnd w:id="234"/>
      <w:bookmarkEnd w:id="235"/>
      <w:bookmarkEnd w:id="236"/>
      <w:bookmarkEnd w:id="237"/>
      <w:bookmarkEnd w:id="238"/>
      <w:r w:rsidR="00711270">
        <w:t xml:space="preserve"> </w:t>
      </w:r>
    </w:p>
    <w:p w14:paraId="6ACE0D0B" w14:textId="60178CA8" w:rsidR="00896C6E" w:rsidRPr="00F9180F" w:rsidRDefault="00116AED" w:rsidP="00940ED3">
      <w:r>
        <w:t>During 202</w:t>
      </w:r>
      <w:r w:rsidR="00094568">
        <w:t>2</w:t>
      </w:r>
      <w:r>
        <w:t>–2</w:t>
      </w:r>
      <w:r w:rsidR="00094568">
        <w:t>3</w:t>
      </w:r>
      <w:r>
        <w:t xml:space="preserve">, the </w:t>
      </w:r>
      <w:r w:rsidR="00896C6E">
        <w:t xml:space="preserve">internal audit service was provided under a Service Level Agreement with </w:t>
      </w:r>
      <w:r w:rsidR="3905C83F">
        <w:t xml:space="preserve">DPC and </w:t>
      </w:r>
      <w:r w:rsidR="00D02366">
        <w:t>delivered</w:t>
      </w:r>
      <w:r w:rsidR="00896C6E">
        <w:t xml:space="preserve"> by Ernst &amp; Young Australia. </w:t>
      </w:r>
    </w:p>
    <w:p w14:paraId="1C2159CE" w14:textId="4F9AA92C" w:rsidR="00042389" w:rsidRPr="00F9180F" w:rsidRDefault="00042389" w:rsidP="00940ED3">
      <w:r w:rsidRPr="00F9180F">
        <w:lastRenderedPageBreak/>
        <w:t xml:space="preserve">Internal audit provides independent assurance and advice to the </w:t>
      </w:r>
      <w:r w:rsidR="00621537" w:rsidRPr="00F9180F">
        <w:t>Public Sector Commissioner</w:t>
      </w:r>
      <w:r w:rsidR="00896C6E" w:rsidRPr="00F9180F">
        <w:t>, senior management</w:t>
      </w:r>
      <w:r w:rsidRPr="00F9180F">
        <w:t xml:space="preserve"> and </w:t>
      </w:r>
      <w:r w:rsidR="00896C6E" w:rsidRPr="00F9180F">
        <w:t xml:space="preserve">the </w:t>
      </w:r>
      <w:r w:rsidRPr="00F9180F">
        <w:t>ARMC</w:t>
      </w:r>
      <w:r w:rsidR="00896C6E" w:rsidRPr="00F9180F">
        <w:t>. It aims to i</w:t>
      </w:r>
      <w:r w:rsidRPr="00F9180F">
        <w:t xml:space="preserve">mprove the </w:t>
      </w:r>
      <w:r w:rsidR="00CA7D08" w:rsidRPr="00F9180F">
        <w:t>Commission</w:t>
      </w:r>
      <w:r w:rsidRPr="00F9180F">
        <w:t xml:space="preserve">’s corporate governance through an objective, systematic approach to evaluating the effectiveness and efficiency of processes, internal </w:t>
      </w:r>
      <w:proofErr w:type="gramStart"/>
      <w:r w:rsidRPr="00F9180F">
        <w:t>controls</w:t>
      </w:r>
      <w:proofErr w:type="gramEnd"/>
      <w:r w:rsidRPr="00F9180F">
        <w:t xml:space="preserve"> and risk management practices.</w:t>
      </w:r>
      <w:r w:rsidR="00116AED" w:rsidRPr="00F9180F">
        <w:t xml:space="preserve"> </w:t>
      </w:r>
    </w:p>
    <w:p w14:paraId="114E0DC4" w14:textId="1F28CDD0" w:rsidR="00042389" w:rsidRPr="00F9180F" w:rsidRDefault="00042389" w:rsidP="00430617">
      <w:pPr>
        <w:pStyle w:val="PSC-Body"/>
        <w:spacing w:after="0"/>
      </w:pPr>
      <w:r w:rsidRPr="00F9180F">
        <w:t xml:space="preserve">Key </w:t>
      </w:r>
      <w:r w:rsidR="10E37F8F" w:rsidRPr="00F9180F">
        <w:t xml:space="preserve">internal audits conducted </w:t>
      </w:r>
      <w:r w:rsidR="6F99A9FE" w:rsidRPr="00F9180F">
        <w:t xml:space="preserve">for the </w:t>
      </w:r>
      <w:r w:rsidR="00B6006C">
        <w:t>Commission</w:t>
      </w:r>
      <w:r w:rsidR="6F99A9FE" w:rsidRPr="00F9180F">
        <w:t xml:space="preserve"> </w:t>
      </w:r>
      <w:r w:rsidR="00216C55" w:rsidRPr="00F9180F">
        <w:t>i</w:t>
      </w:r>
      <w:r w:rsidR="00116AED" w:rsidRPr="00F9180F">
        <w:t>ncluded:</w:t>
      </w:r>
    </w:p>
    <w:p w14:paraId="2EC1B7C1" w14:textId="2CDC7AFA" w:rsidR="00094568" w:rsidRPr="009021B4" w:rsidRDefault="7CC85FC5" w:rsidP="006007D3">
      <w:pPr>
        <w:pStyle w:val="PSC-Bullets1"/>
        <w:rPr>
          <w:rFonts w:eastAsia="MS Mincho"/>
          <w:szCs w:val="20"/>
        </w:rPr>
      </w:pPr>
      <w:bookmarkStart w:id="239" w:name="_Toc74055910"/>
      <w:bookmarkStart w:id="240" w:name="_Toc76549864"/>
      <w:bookmarkStart w:id="241" w:name="_Toc79493373"/>
      <w:r w:rsidRPr="009021B4">
        <w:t xml:space="preserve">Core </w:t>
      </w:r>
      <w:r w:rsidR="00F82C06">
        <w:t>i</w:t>
      </w:r>
      <w:r w:rsidRPr="009021B4">
        <w:t xml:space="preserve">nternal </w:t>
      </w:r>
      <w:r w:rsidR="00F82C06">
        <w:t>c</w:t>
      </w:r>
      <w:r w:rsidRPr="009021B4">
        <w:t xml:space="preserve">ontrol </w:t>
      </w:r>
      <w:r w:rsidR="00F82C06">
        <w:t>p</w:t>
      </w:r>
      <w:r w:rsidRPr="009021B4">
        <w:t>rocesses</w:t>
      </w:r>
    </w:p>
    <w:p w14:paraId="72EDB9CC" w14:textId="65F32380" w:rsidR="00094568" w:rsidRPr="009021B4" w:rsidRDefault="7CC85FC5" w:rsidP="006007D3">
      <w:pPr>
        <w:pStyle w:val="PSC-Bullets1"/>
        <w:rPr>
          <w:rFonts w:eastAsia="MS Mincho"/>
          <w:szCs w:val="20"/>
        </w:rPr>
      </w:pPr>
      <w:r w:rsidRPr="009021B4">
        <w:t xml:space="preserve">Information, </w:t>
      </w:r>
      <w:r w:rsidR="00F82C06">
        <w:t>d</w:t>
      </w:r>
      <w:r w:rsidRPr="009021B4">
        <w:t xml:space="preserve">ata </w:t>
      </w:r>
      <w:r w:rsidR="00F82C06">
        <w:t>r</w:t>
      </w:r>
      <w:r w:rsidRPr="009021B4">
        <w:t xml:space="preserve">etention and </w:t>
      </w:r>
      <w:r w:rsidR="00F82C06">
        <w:t>s</w:t>
      </w:r>
      <w:r w:rsidRPr="009021B4">
        <w:t>torage</w:t>
      </w:r>
    </w:p>
    <w:p w14:paraId="2DAFE43B" w14:textId="4886786E" w:rsidR="006E3862" w:rsidRPr="00F9180F" w:rsidRDefault="1DF1F582" w:rsidP="006007D3">
      <w:pPr>
        <w:pStyle w:val="PSC-Bullets1"/>
      </w:pPr>
      <w:r>
        <w:t xml:space="preserve">Workforce </w:t>
      </w:r>
      <w:r w:rsidR="00F82C06">
        <w:t>p</w:t>
      </w:r>
      <w:r>
        <w:t>rofile data quality review</w:t>
      </w:r>
      <w:r w:rsidR="4D780797">
        <w:t>.</w:t>
      </w:r>
    </w:p>
    <w:p w14:paraId="0E47D394" w14:textId="239468AB" w:rsidR="00042389" w:rsidRPr="00F9180F" w:rsidRDefault="00042389" w:rsidP="00A9740A">
      <w:pPr>
        <w:pStyle w:val="PSCHeading2"/>
      </w:pPr>
      <w:bookmarkStart w:id="242" w:name="_Toc141781809"/>
      <w:bookmarkStart w:id="243" w:name="_Toc141781971"/>
      <w:bookmarkStart w:id="244" w:name="_Toc145926917"/>
      <w:r w:rsidRPr="00F9180F">
        <w:t>External scrutiny</w:t>
      </w:r>
      <w:bookmarkEnd w:id="239"/>
      <w:bookmarkEnd w:id="240"/>
      <w:bookmarkEnd w:id="241"/>
      <w:bookmarkEnd w:id="242"/>
      <w:bookmarkEnd w:id="243"/>
      <w:bookmarkEnd w:id="244"/>
      <w:r w:rsidR="009A3067" w:rsidRPr="00F9180F">
        <w:t xml:space="preserve"> </w:t>
      </w:r>
    </w:p>
    <w:p w14:paraId="17D0E979" w14:textId="45A659C5" w:rsidR="003F2751" w:rsidRPr="00F9180F" w:rsidRDefault="003F2751" w:rsidP="003F2751">
      <w:r w:rsidRPr="009021B4">
        <w:t xml:space="preserve">The Commission is subject to external review. The following reports applicable to the </w:t>
      </w:r>
      <w:r w:rsidR="00CA7D08" w:rsidRPr="009021B4">
        <w:t>Commission</w:t>
      </w:r>
      <w:r w:rsidR="00646663" w:rsidRPr="009021B4">
        <w:t xml:space="preserve"> </w:t>
      </w:r>
      <w:r w:rsidRPr="009021B4">
        <w:t>were tabled by the Queensland Auditor-General in Parliament during 202</w:t>
      </w:r>
      <w:r w:rsidR="00824DB5" w:rsidRPr="009021B4">
        <w:t>2</w:t>
      </w:r>
      <w:r w:rsidRPr="009021B4">
        <w:t>–2</w:t>
      </w:r>
      <w:r w:rsidR="00824DB5" w:rsidRPr="009021B4">
        <w:t>3</w:t>
      </w:r>
      <w:r w:rsidRPr="009021B4">
        <w:t>.</w:t>
      </w:r>
    </w:p>
    <w:p w14:paraId="4A4A8E94" w14:textId="1C72E352" w:rsidR="009E37CC" w:rsidRPr="009021B4" w:rsidRDefault="003B4964" w:rsidP="00F61D85">
      <w:pPr>
        <w:pStyle w:val="ListParagraph"/>
        <w:numPr>
          <w:ilvl w:val="0"/>
          <w:numId w:val="8"/>
        </w:numPr>
        <w:ind w:left="284" w:hanging="284"/>
        <w:rPr>
          <w:rStyle w:val="Hyperlink"/>
          <w:color w:val="auto"/>
          <w:u w:val="none"/>
        </w:rPr>
      </w:pPr>
      <w:hyperlink r:id="rId38" w:tgtFrame="_blank" w:history="1">
        <w:r w:rsidR="009E37CC" w:rsidRPr="009021B4">
          <w:rPr>
            <w:rStyle w:val="Hyperlink"/>
            <w:color w:val="auto"/>
            <w:u w:val="none"/>
          </w:rPr>
          <w:t>QAO Report</w:t>
        </w:r>
      </w:hyperlink>
      <w:r w:rsidR="009E37CC" w:rsidRPr="009021B4">
        <w:rPr>
          <w:rStyle w:val="Hyperlink"/>
          <w:color w:val="auto"/>
          <w:u w:val="none"/>
        </w:rPr>
        <w:t xml:space="preserve"> 6: 2022</w:t>
      </w:r>
      <w:r w:rsidR="005A55DB">
        <w:rPr>
          <w:rStyle w:val="Hyperlink"/>
          <w:color w:val="auto"/>
          <w:u w:val="none"/>
        </w:rPr>
        <w:t>–</w:t>
      </w:r>
      <w:r w:rsidR="009E37CC" w:rsidRPr="009021B4">
        <w:rPr>
          <w:rStyle w:val="Hyperlink"/>
          <w:color w:val="auto"/>
          <w:u w:val="none"/>
        </w:rPr>
        <w:t xml:space="preserve">23 Managing workforce agility in the Queensland public </w:t>
      </w:r>
      <w:proofErr w:type="gramStart"/>
      <w:r w:rsidR="009E37CC" w:rsidRPr="009021B4">
        <w:rPr>
          <w:rStyle w:val="Hyperlink"/>
          <w:color w:val="auto"/>
          <w:u w:val="none"/>
        </w:rPr>
        <w:t>sector</w:t>
      </w:r>
      <w:proofErr w:type="gramEnd"/>
    </w:p>
    <w:p w14:paraId="294CA7DF" w14:textId="77777777" w:rsidR="009E37CC" w:rsidRPr="009021B4" w:rsidRDefault="009E37CC" w:rsidP="009E37CC">
      <w:pPr>
        <w:rPr>
          <w:bCs/>
        </w:rPr>
      </w:pPr>
      <w:r w:rsidRPr="009021B4">
        <w:rPr>
          <w:bCs/>
        </w:rPr>
        <w:t xml:space="preserve">This report examined the effectiveness of the public sector’s planning to support an agile and flexible workforce that can meet changing needs and government priorities. </w:t>
      </w:r>
    </w:p>
    <w:p w14:paraId="136F4D81" w14:textId="3D50060C" w:rsidR="0024537A" w:rsidRPr="002B0E9A" w:rsidRDefault="009E37CC" w:rsidP="00430617">
      <w:pPr>
        <w:pStyle w:val="PSC-Body"/>
        <w:spacing w:after="0"/>
      </w:pPr>
      <w:r w:rsidRPr="002B0E9A">
        <w:t xml:space="preserve">The report contained </w:t>
      </w:r>
      <w:r w:rsidR="007C0286" w:rsidRPr="002B0E9A">
        <w:t xml:space="preserve">four </w:t>
      </w:r>
      <w:r w:rsidRPr="002B0E9A">
        <w:t>recommendations directed to the Commission, including</w:t>
      </w:r>
      <w:r w:rsidR="0024537A" w:rsidRPr="002B0E9A">
        <w:t>:</w:t>
      </w:r>
    </w:p>
    <w:p w14:paraId="30A8F402" w14:textId="0F80203F" w:rsidR="0024537A" w:rsidRPr="009021B4" w:rsidRDefault="009E37CC" w:rsidP="002552B9">
      <w:pPr>
        <w:pStyle w:val="Bullets2secondindent"/>
      </w:pPr>
      <w:r>
        <w:t xml:space="preserve">providing practical guidance and support to address key workforce </w:t>
      </w:r>
      <w:proofErr w:type="gramStart"/>
      <w:r>
        <w:t>challenges</w:t>
      </w:r>
      <w:proofErr w:type="gramEnd"/>
    </w:p>
    <w:p w14:paraId="79BCACA6" w14:textId="4161C63C" w:rsidR="00B433F9" w:rsidRPr="009021B4" w:rsidRDefault="009E37CC" w:rsidP="002552B9">
      <w:pPr>
        <w:pStyle w:val="Bullets2secondindent"/>
      </w:pPr>
      <w:r>
        <w:t xml:space="preserve">developing contemporary recruitment and selection practices </w:t>
      </w:r>
    </w:p>
    <w:p w14:paraId="7CD0E342" w14:textId="141C51BC" w:rsidR="009E37CC" w:rsidRDefault="009E37CC" w:rsidP="002552B9">
      <w:pPr>
        <w:pStyle w:val="Bullets2secondindent"/>
      </w:pPr>
      <w:r>
        <w:t>providing practical and sustainable hybrid workforce models</w:t>
      </w:r>
    </w:p>
    <w:p w14:paraId="0E5B8003" w14:textId="7ED10CE9" w:rsidR="00094EA5" w:rsidRPr="009021B4" w:rsidRDefault="00BA365C" w:rsidP="002552B9">
      <w:pPr>
        <w:pStyle w:val="Bullets2secondindent"/>
      </w:pPr>
      <w:r w:rsidRPr="00BA365C">
        <w:t>championing cross-sector workforce mobility programs and common job descriptions.</w:t>
      </w:r>
    </w:p>
    <w:p w14:paraId="74AB6597" w14:textId="70D3BA28" w:rsidR="009E37CC" w:rsidRPr="009021B4" w:rsidRDefault="009E37CC" w:rsidP="00430617">
      <w:pPr>
        <w:pStyle w:val="PSC-Body"/>
        <w:spacing w:after="0"/>
      </w:pPr>
      <w:r w:rsidRPr="009021B4">
        <w:t xml:space="preserve">The </w:t>
      </w:r>
      <w:r w:rsidR="00B6006C">
        <w:t xml:space="preserve">Commission </w:t>
      </w:r>
      <w:r w:rsidRPr="009021B4">
        <w:t>has made strong progress in implementing the recommendations including:</w:t>
      </w:r>
    </w:p>
    <w:p w14:paraId="6E65538E" w14:textId="2627B4AE" w:rsidR="009E37CC" w:rsidRPr="009021B4" w:rsidRDefault="009E37CC" w:rsidP="00BE3CEB">
      <w:pPr>
        <w:pStyle w:val="Bullets2secondindent"/>
      </w:pPr>
      <w:r>
        <w:t>the release of</w:t>
      </w:r>
      <w:r w:rsidR="006E6619">
        <w:t xml:space="preserve"> the</w:t>
      </w:r>
      <w:r>
        <w:t xml:space="preserve"> Flex-connect framework and </w:t>
      </w:r>
      <w:proofErr w:type="gramStart"/>
      <w:r>
        <w:t>resources</w:t>
      </w:r>
      <w:proofErr w:type="gramEnd"/>
    </w:p>
    <w:p w14:paraId="4043589C" w14:textId="1F8E90FF" w:rsidR="009E37CC" w:rsidRPr="009021B4" w:rsidRDefault="006E6619" w:rsidP="00BE3CEB">
      <w:pPr>
        <w:pStyle w:val="Bullets2secondindent"/>
      </w:pPr>
      <w:r>
        <w:t xml:space="preserve">the </w:t>
      </w:r>
      <w:r w:rsidR="00A727B4">
        <w:t>r</w:t>
      </w:r>
      <w:r w:rsidR="009E37CC">
        <w:t xml:space="preserve">elease of </w:t>
      </w:r>
      <w:r w:rsidR="002F48AA">
        <w:t>Directive 7/23 Recruitment and Selection that</w:t>
      </w:r>
      <w:r w:rsidR="009E37CC">
        <w:t xml:space="preserve"> support</w:t>
      </w:r>
      <w:r w:rsidR="002F48AA">
        <w:t>s</w:t>
      </w:r>
      <w:r w:rsidR="009E37CC">
        <w:t xml:space="preserve"> improved talent acquisition and </w:t>
      </w:r>
      <w:proofErr w:type="gramStart"/>
      <w:r w:rsidR="009E37CC">
        <w:t>mobility</w:t>
      </w:r>
      <w:proofErr w:type="gramEnd"/>
    </w:p>
    <w:p w14:paraId="26282E8A" w14:textId="6D124EE6" w:rsidR="00094EA5" w:rsidRPr="009021B4" w:rsidRDefault="00DB2179" w:rsidP="00BE3CEB">
      <w:pPr>
        <w:pStyle w:val="Bullets2secondindent"/>
      </w:pPr>
      <w:r>
        <w:t>c</w:t>
      </w:r>
      <w:r w:rsidR="009E37CC">
        <w:t xml:space="preserve">ommencing research and engagement with agencies to develop resources that provide practical support on workforce planning. </w:t>
      </w:r>
    </w:p>
    <w:p w14:paraId="5A648673" w14:textId="793E0339" w:rsidR="002658FD" w:rsidRPr="00F9180F" w:rsidRDefault="00DB2179" w:rsidP="009E37CC">
      <w:pPr>
        <w:rPr>
          <w:bCs/>
        </w:rPr>
      </w:pPr>
      <w:r w:rsidRPr="009021B4">
        <w:rPr>
          <w:bCs/>
        </w:rPr>
        <w:t xml:space="preserve">The Commission </w:t>
      </w:r>
      <w:r w:rsidR="009E37CC" w:rsidRPr="009021B4">
        <w:rPr>
          <w:bCs/>
        </w:rPr>
        <w:t xml:space="preserve">will continue to work with </w:t>
      </w:r>
      <w:r w:rsidR="000754FC" w:rsidRPr="009021B4">
        <w:rPr>
          <w:bCs/>
        </w:rPr>
        <w:t>agencies</w:t>
      </w:r>
      <w:r w:rsidR="009E37CC" w:rsidRPr="009021B4">
        <w:rPr>
          <w:bCs/>
        </w:rPr>
        <w:t xml:space="preserve"> to support the effective implementation of the audit’s recommendations.</w:t>
      </w:r>
      <w:r w:rsidR="009E37CC" w:rsidRPr="00F9180F">
        <w:rPr>
          <w:bCs/>
        </w:rPr>
        <w:t xml:space="preserve"> </w:t>
      </w:r>
    </w:p>
    <w:p w14:paraId="5D86BF58" w14:textId="12385E20" w:rsidR="002658FD" w:rsidRPr="009021B4" w:rsidRDefault="002658FD" w:rsidP="00F61D85">
      <w:pPr>
        <w:pStyle w:val="ListParagraph"/>
        <w:numPr>
          <w:ilvl w:val="0"/>
          <w:numId w:val="8"/>
        </w:numPr>
        <w:spacing w:line="240" w:lineRule="auto"/>
        <w:ind w:left="284" w:hanging="284"/>
        <w:rPr>
          <w:rStyle w:val="Hyperlink"/>
          <w:color w:val="auto"/>
          <w:u w:val="none"/>
        </w:rPr>
      </w:pPr>
      <w:r w:rsidRPr="009021B4">
        <w:rPr>
          <w:rStyle w:val="Hyperlink"/>
          <w:color w:val="auto"/>
          <w:u w:val="none"/>
        </w:rPr>
        <w:t>QAO Report 17: 2022</w:t>
      </w:r>
      <w:r w:rsidR="002C6F23">
        <w:rPr>
          <w:rStyle w:val="Hyperlink"/>
          <w:color w:val="auto"/>
          <w:u w:val="none"/>
        </w:rPr>
        <w:t>–</w:t>
      </w:r>
      <w:r w:rsidRPr="009021B4">
        <w:rPr>
          <w:rStyle w:val="Hyperlink"/>
          <w:color w:val="auto"/>
          <w:u w:val="none"/>
        </w:rPr>
        <w:t xml:space="preserve">23 Implementing machinery of government </w:t>
      </w:r>
      <w:proofErr w:type="gramStart"/>
      <w:r w:rsidRPr="009021B4">
        <w:rPr>
          <w:rStyle w:val="Hyperlink"/>
          <w:color w:val="auto"/>
          <w:u w:val="none"/>
        </w:rPr>
        <w:t>changes</w:t>
      </w:r>
      <w:proofErr w:type="gramEnd"/>
    </w:p>
    <w:p w14:paraId="15677D72" w14:textId="77777777" w:rsidR="002658FD" w:rsidRPr="00F9180F" w:rsidRDefault="002658FD" w:rsidP="002658FD">
      <w:pPr>
        <w:spacing w:line="240" w:lineRule="auto"/>
      </w:pPr>
      <w:r w:rsidRPr="009021B4">
        <w:t>This report provides insights into central agency leadership during the 2020 machinery of government changes.</w:t>
      </w:r>
    </w:p>
    <w:p w14:paraId="0C5FC7B9" w14:textId="0F54972C" w:rsidR="00CA3F96" w:rsidRPr="009021B4" w:rsidRDefault="002658FD" w:rsidP="00430617">
      <w:pPr>
        <w:spacing w:after="0" w:line="240" w:lineRule="auto"/>
      </w:pPr>
      <w:r w:rsidRPr="009021B4">
        <w:t xml:space="preserve">The report contained </w:t>
      </w:r>
      <w:r w:rsidR="006E6619">
        <w:t>seven</w:t>
      </w:r>
      <w:r w:rsidRPr="009021B4">
        <w:t xml:space="preserve"> recommendations, four of which are directed to the Commission, including</w:t>
      </w:r>
      <w:r w:rsidR="00CA3F96" w:rsidRPr="009021B4">
        <w:t>:</w:t>
      </w:r>
    </w:p>
    <w:p w14:paraId="2685745D" w14:textId="5B0EA8E0" w:rsidR="00CA3F96" w:rsidRPr="009021B4" w:rsidRDefault="002658FD" w:rsidP="00E04D79">
      <w:pPr>
        <w:pStyle w:val="Bullets2secondindent"/>
      </w:pPr>
      <w:r>
        <w:t>improving decision-making for the distribution of resources</w:t>
      </w:r>
    </w:p>
    <w:p w14:paraId="5B275503" w14:textId="5C718D4A" w:rsidR="00CA3F96" w:rsidRPr="009021B4" w:rsidRDefault="002658FD" w:rsidP="00E04D79">
      <w:pPr>
        <w:pStyle w:val="Bullets2secondindent"/>
      </w:pPr>
      <w:r>
        <w:t>consistently applying principles when implementing machinery of government changes</w:t>
      </w:r>
    </w:p>
    <w:p w14:paraId="3F6ED286" w14:textId="0B4629A7" w:rsidR="00CA3F96" w:rsidRPr="009021B4" w:rsidRDefault="002658FD" w:rsidP="00E04D79">
      <w:pPr>
        <w:pStyle w:val="Bullets2secondindent"/>
      </w:pPr>
      <w:r>
        <w:t>establishing a process for a workforce or budget review when needed</w:t>
      </w:r>
    </w:p>
    <w:p w14:paraId="3E443629" w14:textId="1DB89003" w:rsidR="002658FD" w:rsidRPr="009021B4" w:rsidRDefault="002658FD" w:rsidP="00E04D79">
      <w:pPr>
        <w:pStyle w:val="Bullets2secondindent"/>
      </w:pPr>
      <w:r>
        <w:t xml:space="preserve">improving documentation of processes when implementing machinery of government changes. </w:t>
      </w:r>
    </w:p>
    <w:p w14:paraId="3AC86F29" w14:textId="2F142021" w:rsidR="00E04D79" w:rsidRPr="00E04D79" w:rsidRDefault="009B465E" w:rsidP="000B375D">
      <w:pPr>
        <w:pStyle w:val="PSC-Body"/>
        <w:rPr>
          <w:rStyle w:val="normaltextrun"/>
        </w:rPr>
      </w:pPr>
      <w:r w:rsidRPr="009021B4">
        <w:t xml:space="preserve">The Commission </w:t>
      </w:r>
      <w:r w:rsidR="00CA0FB6" w:rsidRPr="009021B4">
        <w:t>will work with</w:t>
      </w:r>
      <w:r w:rsidR="002658FD" w:rsidRPr="009021B4">
        <w:t xml:space="preserve"> agencies to implement these recommendations prior to the next general state election in 2024.</w:t>
      </w:r>
    </w:p>
    <w:p w14:paraId="367BEF7B" w14:textId="2D87E2AB" w:rsidR="003F2751" w:rsidRPr="008D754E" w:rsidRDefault="00F87044" w:rsidP="0072527C">
      <w:pPr>
        <w:pStyle w:val="PSCHeading2"/>
      </w:pPr>
      <w:bookmarkStart w:id="245" w:name="_Toc74055911"/>
      <w:bookmarkStart w:id="246" w:name="_Toc76549865"/>
      <w:bookmarkStart w:id="247" w:name="_Toc79493374"/>
      <w:bookmarkStart w:id="248" w:name="_Toc145926918"/>
      <w:bookmarkStart w:id="249" w:name="_Toc141781810"/>
      <w:bookmarkStart w:id="250" w:name="_Toc141781972"/>
      <w:bookmarkStart w:id="251" w:name="_Hlk73966254"/>
      <w:r w:rsidRPr="008D754E">
        <w:t>Information systems</w:t>
      </w:r>
      <w:bookmarkEnd w:id="245"/>
      <w:bookmarkEnd w:id="246"/>
      <w:bookmarkEnd w:id="247"/>
      <w:bookmarkEnd w:id="248"/>
      <w:r w:rsidRPr="008D754E">
        <w:t xml:space="preserve"> </w:t>
      </w:r>
      <w:bookmarkEnd w:id="249"/>
      <w:bookmarkEnd w:id="250"/>
    </w:p>
    <w:p w14:paraId="278E95BF" w14:textId="08DC5879" w:rsidR="00BA7ACA" w:rsidRPr="000B375D" w:rsidRDefault="00BA7ACA" w:rsidP="00430617">
      <w:pPr>
        <w:pStyle w:val="PSC-Body"/>
        <w:spacing w:after="0"/>
      </w:pPr>
      <w:r w:rsidRPr="000B375D">
        <w:t xml:space="preserve">Under a Shared Service Arrangement with Queensland Shared Services, the </w:t>
      </w:r>
      <w:r w:rsidR="00CA7D08" w:rsidRPr="000B375D">
        <w:t>Commission</w:t>
      </w:r>
      <w:r w:rsidR="00667C4A" w:rsidRPr="000B375D">
        <w:t xml:space="preserve"> </w:t>
      </w:r>
      <w:r w:rsidR="00EE0AA0" w:rsidRPr="000B375D">
        <w:t>used the following information systems</w:t>
      </w:r>
      <w:r w:rsidRPr="000B375D">
        <w:t>:</w:t>
      </w:r>
    </w:p>
    <w:p w14:paraId="2413785C" w14:textId="77777777" w:rsidR="00BA7ACA" w:rsidRPr="008D754E" w:rsidRDefault="00BA7ACA" w:rsidP="00353938">
      <w:pPr>
        <w:pStyle w:val="PSC-Bullets1"/>
      </w:pPr>
      <w:r>
        <w:t>SAP (finance)</w:t>
      </w:r>
    </w:p>
    <w:p w14:paraId="19FD2F33" w14:textId="77777777" w:rsidR="00BA7ACA" w:rsidRPr="008D754E" w:rsidRDefault="00BA7ACA" w:rsidP="00353938">
      <w:pPr>
        <w:pStyle w:val="PSC-Bullets1"/>
      </w:pPr>
      <w:r>
        <w:t>Aurion (HR)</w:t>
      </w:r>
    </w:p>
    <w:p w14:paraId="21087FD6" w14:textId="77777777" w:rsidR="00BA7ACA" w:rsidRPr="008D754E" w:rsidRDefault="00BA7ACA" w:rsidP="00353938">
      <w:pPr>
        <w:pStyle w:val="PSC-Bullets1"/>
      </w:pPr>
      <w:r>
        <w:t>HP Record Manager (records management)</w:t>
      </w:r>
    </w:p>
    <w:p w14:paraId="17A64B44" w14:textId="3CB74B6E" w:rsidR="00BA7ACA" w:rsidRPr="008D754E" w:rsidRDefault="229811AB" w:rsidP="00353938">
      <w:pPr>
        <w:pStyle w:val="PSC-Bullets1"/>
      </w:pPr>
      <w:proofErr w:type="spellStart"/>
      <w:r>
        <w:t>Pro</w:t>
      </w:r>
      <w:r w:rsidR="000276B8">
        <w:t>M</w:t>
      </w:r>
      <w:r>
        <w:t>aster</w:t>
      </w:r>
      <w:proofErr w:type="spellEnd"/>
      <w:r>
        <w:t xml:space="preserve"> (corporate card).</w:t>
      </w:r>
    </w:p>
    <w:p w14:paraId="3E0474A2" w14:textId="77CD797E" w:rsidR="009B35F4" w:rsidRPr="008D754E" w:rsidRDefault="00BA7ACA" w:rsidP="000B375D">
      <w:pPr>
        <w:pStyle w:val="PSC-Body"/>
      </w:pPr>
      <w:r w:rsidRPr="008D754E">
        <w:rPr>
          <w:szCs w:val="20"/>
        </w:rPr>
        <w:t>During 202</w:t>
      </w:r>
      <w:r w:rsidR="004A599D">
        <w:rPr>
          <w:szCs w:val="20"/>
        </w:rPr>
        <w:t>2</w:t>
      </w:r>
      <w:r w:rsidRPr="008D754E">
        <w:rPr>
          <w:szCs w:val="20"/>
        </w:rPr>
        <w:t>–2</w:t>
      </w:r>
      <w:r w:rsidR="004A599D">
        <w:rPr>
          <w:szCs w:val="20"/>
        </w:rPr>
        <w:t>3</w:t>
      </w:r>
      <w:r w:rsidRPr="008D754E">
        <w:rPr>
          <w:szCs w:val="20"/>
        </w:rPr>
        <w:t xml:space="preserve">, the </w:t>
      </w:r>
      <w:r w:rsidR="00CA7D08">
        <w:rPr>
          <w:szCs w:val="20"/>
        </w:rPr>
        <w:t>Commission</w:t>
      </w:r>
      <w:r w:rsidR="00EE0AA0" w:rsidRPr="008D754E">
        <w:rPr>
          <w:szCs w:val="20"/>
        </w:rPr>
        <w:t xml:space="preserve"> </w:t>
      </w:r>
      <w:r w:rsidR="009B35F4" w:rsidRPr="008D754E">
        <w:t xml:space="preserve">provided ongoing information management, </w:t>
      </w:r>
      <w:proofErr w:type="gramStart"/>
      <w:r w:rsidR="009B35F4" w:rsidRPr="008D754E">
        <w:t>security</w:t>
      </w:r>
      <w:proofErr w:type="gramEnd"/>
      <w:r w:rsidR="009B35F4" w:rsidRPr="008D754E">
        <w:t xml:space="preserve"> and privacy training to employees, reiterating the importance of security and management of non-electronic information in shared workspaces and when working remotely</w:t>
      </w:r>
      <w:r w:rsidR="00EE0AA0" w:rsidRPr="008D754E">
        <w:t xml:space="preserve">. </w:t>
      </w:r>
    </w:p>
    <w:p w14:paraId="523E3854" w14:textId="12AC47F9" w:rsidR="00BA7ACA" w:rsidRDefault="00BA7ACA" w:rsidP="000B375D">
      <w:pPr>
        <w:pStyle w:val="PSC-Body"/>
      </w:pPr>
      <w:r w:rsidRPr="008D754E">
        <w:lastRenderedPageBreak/>
        <w:t xml:space="preserve">The </w:t>
      </w:r>
      <w:r w:rsidR="00CA7D08">
        <w:t>Commission</w:t>
      </w:r>
      <w:r w:rsidRPr="008D754E">
        <w:t xml:space="preserve"> ensured its </w:t>
      </w:r>
      <w:r w:rsidR="0067260F" w:rsidRPr="008D754E">
        <w:t xml:space="preserve">information </w:t>
      </w:r>
      <w:r w:rsidRPr="008D754E">
        <w:t>systems and workforce behaviours adhere to Information Standards (Information</w:t>
      </w:r>
      <w:r w:rsidRPr="008D754E">
        <w:rPr>
          <w:spacing w:val="-5"/>
        </w:rPr>
        <w:t xml:space="preserve"> </w:t>
      </w:r>
      <w:r w:rsidRPr="008D754E">
        <w:t>Security).</w:t>
      </w:r>
    </w:p>
    <w:p w14:paraId="68915D0F" w14:textId="28017A81" w:rsidR="00F87044" w:rsidRPr="008D754E" w:rsidRDefault="00F87044" w:rsidP="0072527C">
      <w:pPr>
        <w:pStyle w:val="PSCHeading2"/>
        <w:spacing w:before="0"/>
      </w:pPr>
      <w:bookmarkStart w:id="252" w:name="_Toc74055912"/>
      <w:bookmarkStart w:id="253" w:name="_Toc76549866"/>
      <w:bookmarkStart w:id="254" w:name="_Toc79493375"/>
      <w:bookmarkStart w:id="255" w:name="_Toc141781811"/>
      <w:bookmarkStart w:id="256" w:name="_Toc141781973"/>
      <w:bookmarkStart w:id="257" w:name="_Toc145926919"/>
      <w:r w:rsidRPr="008D754E">
        <w:t>Record</w:t>
      </w:r>
      <w:bookmarkEnd w:id="252"/>
      <w:bookmarkEnd w:id="253"/>
      <w:r w:rsidR="00B10341">
        <w:t>keeping</w:t>
      </w:r>
      <w:bookmarkEnd w:id="254"/>
      <w:bookmarkEnd w:id="255"/>
      <w:bookmarkEnd w:id="256"/>
      <w:bookmarkEnd w:id="257"/>
    </w:p>
    <w:bookmarkEnd w:id="251"/>
    <w:p w14:paraId="6197F436" w14:textId="6DAC9B3E" w:rsidR="008B72A3" w:rsidRPr="008D754E" w:rsidRDefault="00BA7ACA" w:rsidP="000B375D">
      <w:pPr>
        <w:pStyle w:val="PSC-Body"/>
      </w:pPr>
      <w:r w:rsidRPr="008D754E">
        <w:t xml:space="preserve">Electronic and physical documents are managed </w:t>
      </w:r>
      <w:r w:rsidR="00CA7D08">
        <w:t xml:space="preserve">by individual </w:t>
      </w:r>
      <w:r w:rsidRPr="008D754E">
        <w:t>business area</w:t>
      </w:r>
      <w:r w:rsidR="00CA7D08">
        <w:t>s</w:t>
      </w:r>
      <w:r w:rsidRPr="008D754E">
        <w:t xml:space="preserve"> using HP Record Manager. </w:t>
      </w:r>
    </w:p>
    <w:p w14:paraId="6985D74E" w14:textId="61109A2C" w:rsidR="005A3093" w:rsidRDefault="00BA7ACA" w:rsidP="000B375D">
      <w:pPr>
        <w:pStyle w:val="PSC-Body"/>
      </w:pPr>
      <w:r w:rsidRPr="008D754E">
        <w:t xml:space="preserve">The </w:t>
      </w:r>
      <w:r w:rsidR="00CA7D08">
        <w:t>Commission</w:t>
      </w:r>
      <w:r w:rsidR="0067260F" w:rsidRPr="008D754E">
        <w:t xml:space="preserve"> </w:t>
      </w:r>
      <w:r w:rsidRPr="008D754E">
        <w:t>has policies and processes in place for recordkeeping,</w:t>
      </w:r>
      <w:r w:rsidRPr="008D754E">
        <w:rPr>
          <w:spacing w:val="-9"/>
        </w:rPr>
        <w:t xml:space="preserve"> </w:t>
      </w:r>
      <w:r w:rsidRPr="008D754E">
        <w:t>email</w:t>
      </w:r>
      <w:r w:rsidRPr="008D754E">
        <w:rPr>
          <w:spacing w:val="-9"/>
        </w:rPr>
        <w:t xml:space="preserve"> </w:t>
      </w:r>
      <w:r w:rsidRPr="008D754E">
        <w:t>management,</w:t>
      </w:r>
      <w:r w:rsidRPr="008D754E">
        <w:rPr>
          <w:spacing w:val="-9"/>
        </w:rPr>
        <w:t xml:space="preserve"> </w:t>
      </w:r>
      <w:proofErr w:type="gramStart"/>
      <w:r w:rsidRPr="008D754E">
        <w:t>retention</w:t>
      </w:r>
      <w:proofErr w:type="gramEnd"/>
      <w:r w:rsidRPr="008D754E">
        <w:rPr>
          <w:spacing w:val="-8"/>
        </w:rPr>
        <w:t xml:space="preserve"> </w:t>
      </w:r>
      <w:r w:rsidRPr="008D754E">
        <w:t>and</w:t>
      </w:r>
      <w:r w:rsidRPr="008D754E">
        <w:rPr>
          <w:spacing w:val="-9"/>
        </w:rPr>
        <w:t xml:space="preserve"> </w:t>
      </w:r>
      <w:r w:rsidRPr="008D754E">
        <w:t>disposal of</w:t>
      </w:r>
      <w:r w:rsidRPr="008D754E">
        <w:rPr>
          <w:spacing w:val="-13"/>
        </w:rPr>
        <w:t xml:space="preserve"> </w:t>
      </w:r>
      <w:r w:rsidRPr="008D754E">
        <w:t>records,</w:t>
      </w:r>
      <w:r w:rsidRPr="008D754E">
        <w:rPr>
          <w:spacing w:val="-12"/>
        </w:rPr>
        <w:t xml:space="preserve"> </w:t>
      </w:r>
      <w:r w:rsidRPr="008D754E">
        <w:t>managing</w:t>
      </w:r>
      <w:r w:rsidRPr="008D754E">
        <w:rPr>
          <w:spacing w:val="-12"/>
        </w:rPr>
        <w:t xml:space="preserve"> </w:t>
      </w:r>
      <w:r w:rsidRPr="008D754E">
        <w:t>information</w:t>
      </w:r>
      <w:r w:rsidRPr="008D754E">
        <w:rPr>
          <w:spacing w:val="-13"/>
        </w:rPr>
        <w:t xml:space="preserve"> </w:t>
      </w:r>
      <w:r w:rsidRPr="008D754E">
        <w:t>on</w:t>
      </w:r>
      <w:r w:rsidRPr="008D754E">
        <w:rPr>
          <w:spacing w:val="-12"/>
        </w:rPr>
        <w:t xml:space="preserve"> </w:t>
      </w:r>
      <w:r>
        <w:t>shared</w:t>
      </w:r>
      <w:r>
        <w:rPr>
          <w:spacing w:val="-12"/>
        </w:rPr>
        <w:t xml:space="preserve"> </w:t>
      </w:r>
      <w:r>
        <w:t>network</w:t>
      </w:r>
      <w:r>
        <w:rPr>
          <w:spacing w:val="-15"/>
        </w:rPr>
        <w:t xml:space="preserve"> </w:t>
      </w:r>
      <w:r>
        <w:t>drives and information</w:t>
      </w:r>
      <w:r>
        <w:rPr>
          <w:spacing w:val="-4"/>
        </w:rPr>
        <w:t xml:space="preserve"> </w:t>
      </w:r>
      <w:r>
        <w:t xml:space="preserve">security to help employees understand their role and responsibilities. </w:t>
      </w:r>
    </w:p>
    <w:p w14:paraId="6E8A5EE9" w14:textId="0E7CD427" w:rsidR="00BA7ACA" w:rsidRDefault="00BA7ACA" w:rsidP="000B375D">
      <w:pPr>
        <w:pStyle w:val="PSC-Body"/>
        <w:rPr>
          <w:rFonts w:ascii="Calibri" w:hAnsi="Calibri"/>
        </w:rPr>
      </w:pPr>
      <w:r>
        <w:t xml:space="preserve">Our Governance and Business Services </w:t>
      </w:r>
      <w:r w:rsidR="49BF3F54">
        <w:t>team</w:t>
      </w:r>
      <w:r>
        <w:t xml:space="preserve"> also </w:t>
      </w:r>
      <w:r w:rsidR="00045546">
        <w:t xml:space="preserve">provides </w:t>
      </w:r>
      <w:r>
        <w:t>ongoing recordkeeping support to employees</w:t>
      </w:r>
      <w:r w:rsidR="002B4BCB">
        <w:t>.</w:t>
      </w:r>
    </w:p>
    <w:p w14:paraId="262C9A07" w14:textId="64FA32EC" w:rsidR="00BA7ACA" w:rsidRDefault="00BA7ACA" w:rsidP="00430617">
      <w:pPr>
        <w:pStyle w:val="PSC-Body"/>
        <w:spacing w:after="0"/>
      </w:pPr>
      <w:r>
        <w:t xml:space="preserve">The </w:t>
      </w:r>
      <w:r w:rsidR="00CA7D08">
        <w:t>Commission</w:t>
      </w:r>
      <w:r>
        <w:t xml:space="preserve"> adhere</w:t>
      </w:r>
      <w:r w:rsidR="008B72A3">
        <w:t>d</w:t>
      </w:r>
      <w:r>
        <w:t xml:space="preserve"> to recordkeeping practices under the:</w:t>
      </w:r>
    </w:p>
    <w:p w14:paraId="181DB70B" w14:textId="5F4387EE" w:rsidR="00BA7ACA" w:rsidRPr="009021B4" w:rsidRDefault="00BA7ACA" w:rsidP="00353938">
      <w:pPr>
        <w:pStyle w:val="PSC-Bullets1"/>
        <w:rPr>
          <w:i/>
        </w:rPr>
      </w:pPr>
      <w:r w:rsidRPr="41BF1D54">
        <w:rPr>
          <w:i/>
          <w:iCs/>
        </w:rPr>
        <w:t>Public Records Act 2002</w:t>
      </w:r>
    </w:p>
    <w:p w14:paraId="4703D2D3" w14:textId="02018978" w:rsidR="00BA7ACA" w:rsidRPr="00BA7ACA" w:rsidRDefault="00BA7ACA" w:rsidP="00353938">
      <w:pPr>
        <w:pStyle w:val="PSC-Bullets1"/>
      </w:pPr>
      <w:r>
        <w:t xml:space="preserve">Information Standard (Recordkeeping) </w:t>
      </w:r>
    </w:p>
    <w:p w14:paraId="78BBBA79" w14:textId="262DA4F7" w:rsidR="00BA7ACA" w:rsidRPr="00BA7ACA" w:rsidRDefault="00BA7ACA" w:rsidP="00353938">
      <w:pPr>
        <w:pStyle w:val="PSC-Bullets1"/>
      </w:pPr>
      <w:r>
        <w:t xml:space="preserve">Information Standard (Retention and Disposal of Public Records). </w:t>
      </w:r>
    </w:p>
    <w:p w14:paraId="12CD0841" w14:textId="65E39290" w:rsidR="00B10341" w:rsidRPr="008D754E" w:rsidRDefault="00B10341" w:rsidP="0072527C">
      <w:pPr>
        <w:pStyle w:val="PSCHeading2"/>
      </w:pPr>
      <w:bookmarkStart w:id="258" w:name="_Toc79493376"/>
      <w:bookmarkStart w:id="259" w:name="_Toc141781812"/>
      <w:bookmarkStart w:id="260" w:name="_Toc141781974"/>
      <w:bookmarkStart w:id="261" w:name="_Toc145926920"/>
      <w:r w:rsidRPr="008D754E">
        <w:t>Information security attestation</w:t>
      </w:r>
      <w:bookmarkEnd w:id="258"/>
      <w:bookmarkEnd w:id="259"/>
      <w:bookmarkEnd w:id="260"/>
      <w:bookmarkEnd w:id="261"/>
      <w:r w:rsidRPr="008D754E">
        <w:t xml:space="preserve"> </w:t>
      </w:r>
    </w:p>
    <w:p w14:paraId="5EC2714A" w14:textId="594DC5C6" w:rsidR="00B10341" w:rsidRPr="00EE0AA0" w:rsidRDefault="00B10341" w:rsidP="000B375D">
      <w:pPr>
        <w:pStyle w:val="PSC-Body"/>
        <w:rPr>
          <w:b/>
          <w:bCs/>
        </w:rPr>
      </w:pPr>
      <w:r>
        <w:t xml:space="preserve">During the mandatory annual Information Security reporting process, the </w:t>
      </w:r>
      <w:r w:rsidR="00775058">
        <w:t>Public Sector Commissioner</w:t>
      </w:r>
      <w:r>
        <w:t xml:space="preserve"> attested to the appropriateness of the information security risk management within the Commission to the Director-General of DPC</w:t>
      </w:r>
      <w:r w:rsidR="007E2427">
        <w:t xml:space="preserve">, </w:t>
      </w:r>
      <w:r w:rsidR="001162BC">
        <w:t xml:space="preserve">noting </w:t>
      </w:r>
      <w:r>
        <w:t xml:space="preserve">that appropriate assurance activities have been undertaken to inform this opinion and the Commission’s information security risk position. </w:t>
      </w:r>
    </w:p>
    <w:p w14:paraId="536D2616" w14:textId="3D2830A0" w:rsidR="00B10341" w:rsidRDefault="00B10341" w:rsidP="0072527C">
      <w:pPr>
        <w:pStyle w:val="PSCHeading2"/>
      </w:pPr>
      <w:bookmarkStart w:id="262" w:name="_Toc74055913"/>
      <w:bookmarkStart w:id="263" w:name="_Toc76549867"/>
      <w:bookmarkStart w:id="264" w:name="_Toc79493377"/>
      <w:bookmarkStart w:id="265" w:name="_Toc141781813"/>
      <w:bookmarkStart w:id="266" w:name="_Toc141781975"/>
      <w:bookmarkStart w:id="267" w:name="_Toc145926921"/>
      <w:bookmarkStart w:id="268" w:name="_Hlk78365293"/>
      <w:r>
        <w:t xml:space="preserve">Right to </w:t>
      </w:r>
      <w:r w:rsidR="00BB3701">
        <w:t>I</w:t>
      </w:r>
      <w:r>
        <w:t xml:space="preserve">nformation and </w:t>
      </w:r>
      <w:bookmarkEnd w:id="262"/>
      <w:bookmarkEnd w:id="263"/>
      <w:bookmarkEnd w:id="264"/>
      <w:r w:rsidR="770B6DEB">
        <w:t>Information P</w:t>
      </w:r>
      <w:r>
        <w:t>rivacy</w:t>
      </w:r>
      <w:bookmarkEnd w:id="265"/>
      <w:bookmarkEnd w:id="266"/>
      <w:bookmarkEnd w:id="267"/>
      <w:r w:rsidR="00EC3FDD">
        <w:t xml:space="preserve"> </w:t>
      </w:r>
    </w:p>
    <w:p w14:paraId="1D5AF316" w14:textId="69C5A6F6" w:rsidR="00B10341" w:rsidRPr="003B0DEC" w:rsidRDefault="2BD7A43A" w:rsidP="000B375D">
      <w:pPr>
        <w:pStyle w:val="PSC-Body"/>
      </w:pPr>
      <w:r>
        <w:t xml:space="preserve">The Commission received </w:t>
      </w:r>
      <w:r w:rsidR="01B14FB3">
        <w:t>n</w:t>
      </w:r>
      <w:r w:rsidR="009C248A">
        <w:t>o</w:t>
      </w:r>
      <w:r w:rsidR="01B14FB3">
        <w:t xml:space="preserve"> </w:t>
      </w:r>
      <w:r>
        <w:t>Right to Information and Information Privacy application</w:t>
      </w:r>
      <w:r w:rsidR="02A9DA0D">
        <w:t>s</w:t>
      </w:r>
      <w:r>
        <w:t xml:space="preserve"> in 202</w:t>
      </w:r>
      <w:r w:rsidR="00D76C88">
        <w:t>2</w:t>
      </w:r>
      <w:r>
        <w:t>–2</w:t>
      </w:r>
      <w:r w:rsidR="00D76C88">
        <w:t>3</w:t>
      </w:r>
      <w:r w:rsidR="35FEC4D3">
        <w:t xml:space="preserve"> and did not collect any</w:t>
      </w:r>
      <w:r w:rsidR="1208B166">
        <w:t xml:space="preserve"> </w:t>
      </w:r>
      <w:r>
        <w:t xml:space="preserve">application </w:t>
      </w:r>
      <w:r w:rsidR="52E2F692">
        <w:t xml:space="preserve">or processing </w:t>
      </w:r>
      <w:r>
        <w:t>fees</w:t>
      </w:r>
      <w:r w:rsidR="50074347">
        <w:t>.</w:t>
      </w:r>
    </w:p>
    <w:p w14:paraId="5EA80A50" w14:textId="77777777" w:rsidR="001C6C50" w:rsidRDefault="00B10341" w:rsidP="000B375D">
      <w:pPr>
        <w:pStyle w:val="PSC-Body"/>
        <w:rPr>
          <w:i/>
          <w:iCs/>
        </w:rPr>
      </w:pPr>
      <w:r w:rsidRPr="003B0DEC">
        <w:t xml:space="preserve">The Commission continued to comply with the </w:t>
      </w:r>
      <w:r w:rsidRPr="003B0DEC">
        <w:rPr>
          <w:i/>
          <w:iCs/>
        </w:rPr>
        <w:t>Right to Information Act 2009</w:t>
      </w:r>
      <w:r w:rsidRPr="003B0DEC">
        <w:t xml:space="preserve"> and the </w:t>
      </w:r>
      <w:r w:rsidRPr="003B7CED">
        <w:rPr>
          <w:i/>
        </w:rPr>
        <w:t xml:space="preserve">Information </w:t>
      </w:r>
      <w:r w:rsidRPr="003B0DEC">
        <w:rPr>
          <w:i/>
          <w:iCs/>
        </w:rPr>
        <w:t>Privacy Act 2009.</w:t>
      </w:r>
      <w:bookmarkStart w:id="269" w:name="_Toc79493378"/>
      <w:bookmarkStart w:id="270" w:name="_Toc174128477"/>
      <w:bookmarkStart w:id="271" w:name="_Toc141342849"/>
      <w:bookmarkStart w:id="272" w:name="_Toc141781814"/>
      <w:bookmarkStart w:id="273" w:name="_Toc141781976"/>
      <w:bookmarkEnd w:id="268"/>
    </w:p>
    <w:p w14:paraId="5A93377E" w14:textId="7C700EE3" w:rsidR="008B72A3" w:rsidRPr="008D754E" w:rsidRDefault="00042389" w:rsidP="001C6C50">
      <w:pPr>
        <w:pStyle w:val="PSCHeading1"/>
      </w:pPr>
      <w:bookmarkStart w:id="274" w:name="_Toc145926922"/>
      <w:r w:rsidRPr="008D754E">
        <w:t>People</w:t>
      </w:r>
      <w:bookmarkEnd w:id="269"/>
      <w:bookmarkEnd w:id="270"/>
      <w:bookmarkEnd w:id="271"/>
      <w:bookmarkEnd w:id="272"/>
      <w:bookmarkEnd w:id="273"/>
      <w:bookmarkEnd w:id="274"/>
    </w:p>
    <w:p w14:paraId="1FB94872" w14:textId="1766AC49" w:rsidR="00CA7D08" w:rsidRPr="00B8062A" w:rsidRDefault="00C73CD9" w:rsidP="000B375D">
      <w:pPr>
        <w:pStyle w:val="PSCBodystrong"/>
      </w:pPr>
      <w:bookmarkStart w:id="275" w:name="_Hlk73968905"/>
      <w:r w:rsidRPr="00B8062A">
        <w:t xml:space="preserve">We progressed our </w:t>
      </w:r>
      <w:r w:rsidRPr="00B8062A">
        <w:rPr>
          <w:i/>
          <w:iCs/>
        </w:rPr>
        <w:t>Strategic work</w:t>
      </w:r>
      <w:r w:rsidR="00AB3A4F" w:rsidRPr="00B8062A">
        <w:rPr>
          <w:i/>
          <w:iCs/>
        </w:rPr>
        <w:t>force</w:t>
      </w:r>
      <w:r w:rsidRPr="00B8062A">
        <w:rPr>
          <w:i/>
          <w:iCs/>
        </w:rPr>
        <w:t xml:space="preserve"> plan 2021–2024</w:t>
      </w:r>
      <w:r w:rsidRPr="00B8062A">
        <w:t>, which sets</w:t>
      </w:r>
      <w:r w:rsidR="006F3110">
        <w:t xml:space="preserve"> </w:t>
      </w:r>
      <w:r w:rsidR="006224A7">
        <w:t xml:space="preserve">out </w:t>
      </w:r>
      <w:r w:rsidR="006224A7" w:rsidRPr="00B8062A">
        <w:t>our</w:t>
      </w:r>
      <w:r w:rsidRPr="00B8062A">
        <w:t xml:space="preserve"> </w:t>
      </w:r>
      <w:r w:rsidR="49BF3F54" w:rsidRPr="00B8062A">
        <w:t>vision</w:t>
      </w:r>
      <w:r w:rsidRPr="00B8062A">
        <w:t xml:space="preserve"> of building a high-performing, future-focused public sector for Queensland.</w:t>
      </w:r>
    </w:p>
    <w:p w14:paraId="078AC682" w14:textId="1949EC15" w:rsidR="00124160" w:rsidRPr="00D22088" w:rsidRDefault="00124160" w:rsidP="00A9740A">
      <w:pPr>
        <w:pStyle w:val="PSCHeading2"/>
      </w:pPr>
      <w:bookmarkStart w:id="276" w:name="_Toc74055915"/>
      <w:bookmarkStart w:id="277" w:name="_Toc76549869"/>
      <w:bookmarkStart w:id="278" w:name="_Toc79493379"/>
      <w:bookmarkStart w:id="279" w:name="_Toc141781815"/>
      <w:bookmarkStart w:id="280" w:name="_Toc141781977"/>
      <w:bookmarkStart w:id="281" w:name="_Toc145926923"/>
      <w:bookmarkEnd w:id="275"/>
      <w:r w:rsidRPr="00D22088">
        <w:t>Workforce profile</w:t>
      </w:r>
      <w:bookmarkEnd w:id="276"/>
      <w:bookmarkEnd w:id="277"/>
      <w:bookmarkEnd w:id="278"/>
      <w:bookmarkEnd w:id="279"/>
      <w:bookmarkEnd w:id="280"/>
      <w:bookmarkEnd w:id="281"/>
      <w:r w:rsidR="00F42EEF">
        <w:t xml:space="preserve"> </w:t>
      </w:r>
    </w:p>
    <w:p w14:paraId="71EE1FD9" w14:textId="5B5610CB" w:rsidR="00124160" w:rsidRPr="00214353" w:rsidRDefault="0067260F" w:rsidP="000B375D">
      <w:pPr>
        <w:pStyle w:val="PSC-Body"/>
      </w:pPr>
      <w:r>
        <w:t xml:space="preserve">Our </w:t>
      </w:r>
      <w:r w:rsidR="00124160">
        <w:t>workforce profile for 202</w:t>
      </w:r>
      <w:r w:rsidR="0032791E">
        <w:t>2</w:t>
      </w:r>
      <w:r w:rsidR="00124160">
        <w:t>–2</w:t>
      </w:r>
      <w:r w:rsidR="0032791E">
        <w:t>3</w:t>
      </w:r>
      <w:r w:rsidR="00124160">
        <w:t xml:space="preserve"> is based on June 202</w:t>
      </w:r>
      <w:r w:rsidR="0032791E">
        <w:t>3</w:t>
      </w:r>
      <w:r w:rsidR="00124160">
        <w:t xml:space="preserve"> </w:t>
      </w:r>
      <w:r w:rsidR="00EE0023">
        <w:t xml:space="preserve">minimum </w:t>
      </w:r>
      <w:r w:rsidR="0055395C">
        <w:t>obligatory human resource information (MOHRI)</w:t>
      </w:r>
      <w:r w:rsidR="00124160">
        <w:t xml:space="preserve"> data</w:t>
      </w:r>
      <w:r w:rsidR="00C96488">
        <w:t>.</w:t>
      </w:r>
    </w:p>
    <w:tbl>
      <w:tblPr>
        <w:tblStyle w:val="TableGrid"/>
        <w:tblW w:w="0" w:type="auto"/>
        <w:tblLayout w:type="fixed"/>
        <w:tblLook w:val="06A0" w:firstRow="1" w:lastRow="0" w:firstColumn="1" w:lastColumn="0" w:noHBand="1" w:noVBand="1"/>
      </w:tblPr>
      <w:tblGrid>
        <w:gridCol w:w="3975"/>
        <w:gridCol w:w="2115"/>
      </w:tblGrid>
      <w:tr w:rsidR="0BF69C3A" w:rsidRPr="00214353" w14:paraId="4401FB50" w14:textId="77777777" w:rsidTr="12878F5D">
        <w:tc>
          <w:tcPr>
            <w:tcW w:w="3975" w:type="dxa"/>
            <w:shd w:val="clear" w:color="auto" w:fill="BFBFBF" w:themeFill="background1" w:themeFillShade="BF"/>
            <w:vAlign w:val="center"/>
          </w:tcPr>
          <w:p w14:paraId="58F12FB8" w14:textId="4689A3B5" w:rsidR="0BF69C3A" w:rsidRPr="00214353" w:rsidRDefault="0BF69C3A" w:rsidP="00F20AA8"/>
        </w:tc>
        <w:tc>
          <w:tcPr>
            <w:tcW w:w="2115" w:type="dxa"/>
            <w:shd w:val="clear" w:color="auto" w:fill="BFBFBF" w:themeFill="background1" w:themeFillShade="BF"/>
            <w:vAlign w:val="center"/>
          </w:tcPr>
          <w:p w14:paraId="0419B8B8" w14:textId="707C25FF" w:rsidR="0BF69C3A" w:rsidRPr="00214353" w:rsidRDefault="0BF69C3A" w:rsidP="00F20AA8">
            <w:r w:rsidRPr="00214353">
              <w:t>FTE</w:t>
            </w:r>
          </w:p>
        </w:tc>
      </w:tr>
      <w:tr w:rsidR="4C39FF14" w:rsidRPr="00214353" w14:paraId="11FDE739" w14:textId="77777777" w:rsidTr="12878F5D">
        <w:tc>
          <w:tcPr>
            <w:tcW w:w="3975" w:type="dxa"/>
            <w:shd w:val="clear" w:color="auto" w:fill="FFFFFF" w:themeFill="background1"/>
            <w:vAlign w:val="center"/>
          </w:tcPr>
          <w:p w14:paraId="5DD7FFC5" w14:textId="069D9B52" w:rsidR="4C39FF14" w:rsidRPr="00214353" w:rsidRDefault="4190E18B" w:rsidP="00F20AA8">
            <w:r w:rsidRPr="00214353">
              <w:t xml:space="preserve">Total FTE for the Commission (includes Office of the Integrity </w:t>
            </w:r>
            <w:r w:rsidR="36A9BD7F" w:rsidRPr="00214353">
              <w:t>Commissioner</w:t>
            </w:r>
            <w:r w:rsidR="49BF3F54" w:rsidRPr="00214353">
              <w:t>)</w:t>
            </w:r>
          </w:p>
        </w:tc>
        <w:tc>
          <w:tcPr>
            <w:tcW w:w="2115" w:type="dxa"/>
            <w:shd w:val="clear" w:color="auto" w:fill="FFFFFF" w:themeFill="background1"/>
            <w:vAlign w:val="center"/>
          </w:tcPr>
          <w:p w14:paraId="63B91BF9" w14:textId="7D011857" w:rsidR="4C39FF14" w:rsidRPr="00214353" w:rsidRDefault="19D474F9" w:rsidP="00F20AA8">
            <w:r w:rsidRPr="00214353">
              <w:t>69.22</w:t>
            </w:r>
          </w:p>
        </w:tc>
      </w:tr>
    </w:tbl>
    <w:p w14:paraId="07961C76" w14:textId="1C528FC6" w:rsidR="59209FD7" w:rsidRPr="00214353" w:rsidRDefault="00C96488" w:rsidP="00353938">
      <w:pPr>
        <w:pStyle w:val="PSC-Bullets1"/>
      </w:pPr>
      <w:r>
        <w:t>P</w:t>
      </w:r>
      <w:r w:rsidR="59209FD7">
        <w:t xml:space="preserve">ermanent separation rate was </w:t>
      </w:r>
      <w:r w:rsidR="64ACEB58">
        <w:t>5.60</w:t>
      </w:r>
      <w:r w:rsidR="61BDDDA3">
        <w:t xml:space="preserve"> </w:t>
      </w:r>
      <w:r w:rsidR="59209FD7">
        <w:t>per cent</w:t>
      </w:r>
      <w:r w:rsidR="61BDDDA3">
        <w:t xml:space="preserve"> (</w:t>
      </w:r>
      <w:r w:rsidR="4DE3403B">
        <w:t>3</w:t>
      </w:r>
      <w:r w:rsidR="6FE20C9D">
        <w:t>FTE)</w:t>
      </w:r>
      <w:r>
        <w:t>.</w:t>
      </w:r>
    </w:p>
    <w:p w14:paraId="5D86E036" w14:textId="0A07629B" w:rsidR="59209FD7" w:rsidRPr="00214353" w:rsidRDefault="00C96488" w:rsidP="00353938">
      <w:pPr>
        <w:pStyle w:val="PSC-Bullets1"/>
      </w:pPr>
      <w:r>
        <w:t>N</w:t>
      </w:r>
      <w:r w:rsidR="59209FD7">
        <w:t>o redundancy or retrenchment packages were paid during this period</w:t>
      </w:r>
      <w:r>
        <w:t>.</w:t>
      </w:r>
    </w:p>
    <w:p w14:paraId="4AB9D319" w14:textId="46F771C1" w:rsidR="1780F2FF" w:rsidRPr="00214353" w:rsidRDefault="005802C3" w:rsidP="00353938">
      <w:pPr>
        <w:pStyle w:val="PSC-Bullets1"/>
      </w:pPr>
      <w:r>
        <w:t>N</w:t>
      </w:r>
      <w:r w:rsidR="74FAC0EA">
        <w:t>o</w:t>
      </w:r>
      <w:r w:rsidR="5F068015">
        <w:t xml:space="preserve"> employees received an early retirement package</w:t>
      </w:r>
      <w:r w:rsidR="00C96488">
        <w:t>.</w:t>
      </w:r>
      <w:r w:rsidR="6FE20C9D">
        <w:t xml:space="preserve"> </w:t>
      </w:r>
    </w:p>
    <w:p w14:paraId="54C04783" w14:textId="256B4EB8" w:rsidR="47F6D4C3" w:rsidRDefault="74A646C5" w:rsidP="00353938">
      <w:pPr>
        <w:pStyle w:val="PSC-Bullets1"/>
      </w:pPr>
      <w:r>
        <w:t xml:space="preserve">There were no conversions from </w:t>
      </w:r>
      <w:r w:rsidR="5A415054">
        <w:t>temporary to permanent employment status.</w:t>
      </w:r>
    </w:p>
    <w:p w14:paraId="1D99C070" w14:textId="77777777" w:rsidR="008C48D5" w:rsidRDefault="008C48D5" w:rsidP="008C48D5">
      <w:pPr>
        <w:pStyle w:val="PSC-Body"/>
      </w:pPr>
    </w:p>
    <w:p w14:paraId="1B4CC983" w14:textId="77777777" w:rsidR="008C48D5" w:rsidRDefault="008C48D5" w:rsidP="008C48D5">
      <w:pPr>
        <w:pStyle w:val="PSC-Body"/>
      </w:pPr>
    </w:p>
    <w:p w14:paraId="40ACFAA2" w14:textId="77777777" w:rsidR="00560DD8" w:rsidRDefault="00560DD8" w:rsidP="008C48D5">
      <w:pPr>
        <w:pStyle w:val="PSC-Body"/>
      </w:pPr>
    </w:p>
    <w:p w14:paraId="215BAE9C" w14:textId="77777777" w:rsidR="00560DD8" w:rsidRDefault="00560DD8" w:rsidP="008C48D5">
      <w:pPr>
        <w:pStyle w:val="PSC-Body"/>
      </w:pPr>
    </w:p>
    <w:p w14:paraId="5A8AFF4B" w14:textId="77777777" w:rsidR="008C48D5" w:rsidRDefault="008C48D5" w:rsidP="008C48D5">
      <w:pPr>
        <w:pStyle w:val="PSC-Body"/>
      </w:pPr>
    </w:p>
    <w:p w14:paraId="0AF5ED51" w14:textId="3E68707F" w:rsidR="375CFF88" w:rsidRPr="00214353" w:rsidRDefault="76CF00C9" w:rsidP="375CFF88">
      <w:pPr>
        <w:rPr>
          <w:rFonts w:cs="Arial"/>
          <w:b/>
          <w:bCs/>
          <w:szCs w:val="20"/>
        </w:rPr>
      </w:pPr>
      <w:r w:rsidRPr="00214353">
        <w:rPr>
          <w:rFonts w:cs="Arial"/>
          <w:b/>
          <w:bCs/>
          <w:szCs w:val="20"/>
        </w:rPr>
        <w:t xml:space="preserve">Workforce </w:t>
      </w:r>
      <w:r w:rsidR="004136A8" w:rsidRPr="00214353">
        <w:rPr>
          <w:rFonts w:cs="Arial"/>
          <w:b/>
          <w:bCs/>
          <w:szCs w:val="20"/>
        </w:rPr>
        <w:t>p</w:t>
      </w:r>
      <w:r w:rsidR="4E758BB1" w:rsidRPr="00214353">
        <w:rPr>
          <w:rFonts w:cs="Arial"/>
          <w:b/>
          <w:bCs/>
          <w:szCs w:val="20"/>
        </w:rPr>
        <w:t>rofile</w:t>
      </w:r>
      <w:r w:rsidR="5A0BAD97" w:rsidRPr="00214353">
        <w:rPr>
          <w:rFonts w:cs="Arial"/>
          <w:b/>
          <w:bCs/>
          <w:szCs w:val="20"/>
        </w:rPr>
        <w:t xml:space="preserve"> data</w:t>
      </w:r>
    </w:p>
    <w:tbl>
      <w:tblPr>
        <w:tblStyle w:val="TableGrid"/>
        <w:tblW w:w="9629" w:type="dxa"/>
        <w:tblLayout w:type="fixed"/>
        <w:tblLook w:val="04A0" w:firstRow="1" w:lastRow="0" w:firstColumn="1" w:lastColumn="0" w:noHBand="0" w:noVBand="1"/>
      </w:tblPr>
      <w:tblGrid>
        <w:gridCol w:w="4101"/>
        <w:gridCol w:w="1989"/>
        <w:gridCol w:w="3539"/>
      </w:tblGrid>
      <w:tr w:rsidR="5DA7F96A" w:rsidRPr="00214353" w14:paraId="19B0CB4A" w14:textId="77777777" w:rsidTr="001B6040">
        <w:tc>
          <w:tcPr>
            <w:tcW w:w="41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362D81D" w14:textId="751854E9" w:rsidR="5DA7F96A" w:rsidRPr="00214353" w:rsidRDefault="5DA7F96A">
            <w:pPr>
              <w:rPr>
                <w:rFonts w:cs="Arial"/>
                <w:szCs w:val="20"/>
              </w:rPr>
            </w:pPr>
            <w:r w:rsidRPr="00214353">
              <w:rPr>
                <w:rFonts w:eastAsia="Calibri" w:cs="Arial"/>
                <w:b/>
                <w:bCs/>
                <w:szCs w:val="20"/>
              </w:rPr>
              <w:t>Gender</w:t>
            </w:r>
          </w:p>
        </w:tc>
        <w:tc>
          <w:tcPr>
            <w:tcW w:w="19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3A47F4" w14:textId="144ABCE4" w:rsidR="5DA7F96A" w:rsidRPr="00214353" w:rsidRDefault="5DA7F96A">
            <w:pPr>
              <w:rPr>
                <w:rFonts w:cs="Arial"/>
                <w:szCs w:val="20"/>
              </w:rPr>
            </w:pPr>
            <w:r w:rsidRPr="00214353">
              <w:rPr>
                <w:rFonts w:eastAsia="Calibri" w:cs="Arial"/>
                <w:b/>
                <w:bCs/>
                <w:szCs w:val="20"/>
              </w:rPr>
              <w:t>Number</w:t>
            </w:r>
          </w:p>
          <w:p w14:paraId="1590DCF0" w14:textId="4BB737E7" w:rsidR="5DA7F96A" w:rsidRPr="00214353" w:rsidRDefault="5DA7F96A">
            <w:pPr>
              <w:rPr>
                <w:rFonts w:cs="Arial"/>
                <w:szCs w:val="20"/>
              </w:rPr>
            </w:pPr>
            <w:r w:rsidRPr="00214353">
              <w:rPr>
                <w:rFonts w:eastAsia="Calibri" w:cs="Arial"/>
                <w:b/>
                <w:bCs/>
                <w:szCs w:val="20"/>
              </w:rPr>
              <w:t>(</w:t>
            </w:r>
            <w:r w:rsidR="00ED0D5B" w:rsidRPr="00214353">
              <w:rPr>
                <w:rFonts w:eastAsia="Calibri" w:cs="Arial"/>
                <w:b/>
                <w:bCs/>
                <w:szCs w:val="20"/>
              </w:rPr>
              <w:t>h</w:t>
            </w:r>
            <w:r w:rsidRPr="00214353">
              <w:rPr>
                <w:rFonts w:eastAsia="Calibri" w:cs="Arial"/>
                <w:b/>
                <w:bCs/>
                <w:szCs w:val="20"/>
              </w:rPr>
              <w:t>eadcount)</w:t>
            </w:r>
          </w:p>
        </w:tc>
        <w:tc>
          <w:tcPr>
            <w:tcW w:w="35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7A7E679" w14:textId="557E96EC" w:rsidR="5DA7F96A" w:rsidRPr="00214353" w:rsidRDefault="5DA7F96A">
            <w:pPr>
              <w:rPr>
                <w:rFonts w:cs="Arial"/>
                <w:szCs w:val="20"/>
              </w:rPr>
            </w:pPr>
            <w:r w:rsidRPr="00214353">
              <w:rPr>
                <w:rFonts w:eastAsia="Calibri" w:cs="Arial"/>
                <w:b/>
                <w:bCs/>
                <w:szCs w:val="20"/>
              </w:rPr>
              <w:t>Percentage of total workforce</w:t>
            </w:r>
          </w:p>
          <w:p w14:paraId="790FD176" w14:textId="44A463E0" w:rsidR="5DA7F96A" w:rsidRPr="00214353" w:rsidRDefault="5DA7F96A">
            <w:pPr>
              <w:rPr>
                <w:rFonts w:cs="Arial"/>
                <w:szCs w:val="20"/>
              </w:rPr>
            </w:pPr>
            <w:r w:rsidRPr="00214353">
              <w:rPr>
                <w:rFonts w:eastAsia="Calibri" w:cs="Arial"/>
                <w:b/>
                <w:bCs/>
                <w:szCs w:val="20"/>
              </w:rPr>
              <w:t>(</w:t>
            </w:r>
            <w:proofErr w:type="gramStart"/>
            <w:r w:rsidR="00ED0D5B" w:rsidRPr="00214353">
              <w:rPr>
                <w:rFonts w:eastAsia="Calibri" w:cs="Arial"/>
                <w:b/>
                <w:bCs/>
                <w:szCs w:val="20"/>
              </w:rPr>
              <w:t>c</w:t>
            </w:r>
            <w:r w:rsidRPr="00214353">
              <w:rPr>
                <w:rFonts w:eastAsia="Calibri" w:cs="Arial"/>
                <w:b/>
                <w:bCs/>
                <w:szCs w:val="20"/>
              </w:rPr>
              <w:t>alculated</w:t>
            </w:r>
            <w:proofErr w:type="gramEnd"/>
            <w:r w:rsidRPr="00214353">
              <w:rPr>
                <w:rFonts w:eastAsia="Calibri" w:cs="Arial"/>
                <w:b/>
                <w:bCs/>
                <w:szCs w:val="20"/>
              </w:rPr>
              <w:t xml:space="preserve"> on headcount)</w:t>
            </w:r>
          </w:p>
        </w:tc>
      </w:tr>
      <w:tr w:rsidR="5DA7F96A" w:rsidRPr="00214353" w14:paraId="253EA34D" w14:textId="77777777" w:rsidTr="001B6040">
        <w:tc>
          <w:tcPr>
            <w:tcW w:w="4101" w:type="dxa"/>
            <w:tcBorders>
              <w:top w:val="single" w:sz="8" w:space="0" w:color="auto"/>
              <w:left w:val="single" w:sz="8" w:space="0" w:color="auto"/>
              <w:bottom w:val="single" w:sz="8" w:space="0" w:color="auto"/>
              <w:right w:val="single" w:sz="8" w:space="0" w:color="auto"/>
            </w:tcBorders>
          </w:tcPr>
          <w:p w14:paraId="2DECEA94" w14:textId="53C67740" w:rsidR="5DA7F96A" w:rsidRPr="00214353" w:rsidRDefault="5DA7F96A">
            <w:pPr>
              <w:rPr>
                <w:rFonts w:cs="Arial"/>
                <w:szCs w:val="20"/>
              </w:rPr>
            </w:pPr>
            <w:r w:rsidRPr="00214353">
              <w:rPr>
                <w:rFonts w:eastAsia="Calibri" w:cs="Arial"/>
                <w:szCs w:val="20"/>
              </w:rPr>
              <w:t>Woman</w:t>
            </w:r>
          </w:p>
        </w:tc>
        <w:tc>
          <w:tcPr>
            <w:tcW w:w="1989" w:type="dxa"/>
            <w:tcBorders>
              <w:top w:val="single" w:sz="8" w:space="0" w:color="auto"/>
              <w:left w:val="single" w:sz="8" w:space="0" w:color="auto"/>
              <w:bottom w:val="single" w:sz="8" w:space="0" w:color="auto"/>
              <w:right w:val="single" w:sz="8" w:space="0" w:color="auto"/>
            </w:tcBorders>
          </w:tcPr>
          <w:p w14:paraId="2CF9BCD6" w14:textId="20B7A23E" w:rsidR="5DA7F96A" w:rsidRPr="00214353" w:rsidRDefault="3964BA0A" w:rsidP="12878F5D">
            <w:pPr>
              <w:rPr>
                <w:rFonts w:cs="Arial"/>
              </w:rPr>
            </w:pPr>
            <w:r w:rsidRPr="00214353">
              <w:rPr>
                <w:rFonts w:eastAsia="Calibri" w:cs="Arial"/>
              </w:rPr>
              <w:t xml:space="preserve"> </w:t>
            </w:r>
            <w:r w:rsidR="091853EA" w:rsidRPr="00214353">
              <w:rPr>
                <w:rFonts w:eastAsia="Calibri" w:cs="Arial"/>
              </w:rPr>
              <w:t>63</w:t>
            </w:r>
          </w:p>
        </w:tc>
        <w:tc>
          <w:tcPr>
            <w:tcW w:w="3539" w:type="dxa"/>
            <w:tcBorders>
              <w:top w:val="single" w:sz="8" w:space="0" w:color="auto"/>
              <w:left w:val="single" w:sz="8" w:space="0" w:color="auto"/>
              <w:bottom w:val="single" w:sz="8" w:space="0" w:color="auto"/>
              <w:right w:val="single" w:sz="8" w:space="0" w:color="auto"/>
            </w:tcBorders>
          </w:tcPr>
          <w:p w14:paraId="27C4F435" w14:textId="3FD7DD3F" w:rsidR="5DA7F96A" w:rsidRPr="00214353" w:rsidRDefault="3964BA0A" w:rsidP="12878F5D">
            <w:pPr>
              <w:rPr>
                <w:rFonts w:cs="Arial"/>
              </w:rPr>
            </w:pPr>
            <w:r w:rsidRPr="00214353">
              <w:rPr>
                <w:rFonts w:eastAsia="Calibri" w:cs="Arial"/>
              </w:rPr>
              <w:t xml:space="preserve"> </w:t>
            </w:r>
            <w:r w:rsidR="21C6B6D9" w:rsidRPr="00214353">
              <w:rPr>
                <w:rFonts w:eastAsia="Calibri" w:cs="Arial"/>
              </w:rPr>
              <w:t>82</w:t>
            </w:r>
          </w:p>
        </w:tc>
      </w:tr>
      <w:tr w:rsidR="5DA7F96A" w:rsidRPr="00214353" w14:paraId="13F1335F" w14:textId="77777777" w:rsidTr="001B6040">
        <w:tc>
          <w:tcPr>
            <w:tcW w:w="4101" w:type="dxa"/>
            <w:tcBorders>
              <w:top w:val="single" w:sz="8" w:space="0" w:color="auto"/>
              <w:left w:val="single" w:sz="8" w:space="0" w:color="auto"/>
              <w:bottom w:val="single" w:sz="8" w:space="0" w:color="auto"/>
              <w:right w:val="single" w:sz="8" w:space="0" w:color="auto"/>
            </w:tcBorders>
          </w:tcPr>
          <w:p w14:paraId="0D29F410" w14:textId="709F6A61" w:rsidR="5DA7F96A" w:rsidRPr="00214353" w:rsidRDefault="5DA7F96A">
            <w:pPr>
              <w:rPr>
                <w:rFonts w:cs="Arial"/>
                <w:szCs w:val="20"/>
              </w:rPr>
            </w:pPr>
            <w:r w:rsidRPr="00214353">
              <w:rPr>
                <w:rFonts w:eastAsia="Calibri" w:cs="Arial"/>
                <w:szCs w:val="20"/>
              </w:rPr>
              <w:t>Man</w:t>
            </w:r>
          </w:p>
        </w:tc>
        <w:tc>
          <w:tcPr>
            <w:tcW w:w="1989" w:type="dxa"/>
            <w:tcBorders>
              <w:top w:val="single" w:sz="8" w:space="0" w:color="auto"/>
              <w:left w:val="single" w:sz="8" w:space="0" w:color="auto"/>
              <w:bottom w:val="single" w:sz="8" w:space="0" w:color="auto"/>
              <w:right w:val="single" w:sz="8" w:space="0" w:color="auto"/>
            </w:tcBorders>
          </w:tcPr>
          <w:p w14:paraId="25133303" w14:textId="574F809E" w:rsidR="5DA7F96A" w:rsidRPr="00214353" w:rsidRDefault="3964BA0A" w:rsidP="12878F5D">
            <w:pPr>
              <w:rPr>
                <w:rFonts w:cs="Arial"/>
              </w:rPr>
            </w:pPr>
            <w:r w:rsidRPr="00214353">
              <w:rPr>
                <w:rFonts w:eastAsia="Calibri" w:cs="Arial"/>
              </w:rPr>
              <w:t xml:space="preserve"> </w:t>
            </w:r>
            <w:r w:rsidR="59B09B97" w:rsidRPr="00214353">
              <w:rPr>
                <w:rFonts w:eastAsia="Calibri" w:cs="Arial"/>
              </w:rPr>
              <w:t>14</w:t>
            </w:r>
          </w:p>
        </w:tc>
        <w:tc>
          <w:tcPr>
            <w:tcW w:w="3539" w:type="dxa"/>
            <w:tcBorders>
              <w:top w:val="single" w:sz="8" w:space="0" w:color="auto"/>
              <w:left w:val="single" w:sz="8" w:space="0" w:color="auto"/>
              <w:bottom w:val="single" w:sz="8" w:space="0" w:color="auto"/>
              <w:right w:val="single" w:sz="8" w:space="0" w:color="auto"/>
            </w:tcBorders>
          </w:tcPr>
          <w:p w14:paraId="57C69167" w14:textId="20061939" w:rsidR="5DA7F96A" w:rsidRPr="00214353" w:rsidRDefault="3964BA0A" w:rsidP="12878F5D">
            <w:pPr>
              <w:rPr>
                <w:rFonts w:cs="Arial"/>
              </w:rPr>
            </w:pPr>
            <w:r w:rsidRPr="00214353">
              <w:rPr>
                <w:rFonts w:eastAsia="Calibri" w:cs="Arial"/>
              </w:rPr>
              <w:t xml:space="preserve"> </w:t>
            </w:r>
            <w:r w:rsidR="13F19D96" w:rsidRPr="00214353">
              <w:rPr>
                <w:rFonts w:eastAsia="Calibri" w:cs="Arial"/>
              </w:rPr>
              <w:t>18</w:t>
            </w:r>
          </w:p>
        </w:tc>
      </w:tr>
      <w:tr w:rsidR="5DA7F96A" w:rsidRPr="00214353" w14:paraId="11EDBB4F" w14:textId="77777777" w:rsidTr="001B6040">
        <w:tc>
          <w:tcPr>
            <w:tcW w:w="4101" w:type="dxa"/>
            <w:tcBorders>
              <w:top w:val="single" w:sz="8" w:space="0" w:color="auto"/>
              <w:left w:val="single" w:sz="8" w:space="0" w:color="auto"/>
              <w:bottom w:val="single" w:sz="8" w:space="0" w:color="auto"/>
              <w:right w:val="single" w:sz="8" w:space="0" w:color="auto"/>
            </w:tcBorders>
          </w:tcPr>
          <w:p w14:paraId="4F0B8428" w14:textId="06ED3259" w:rsidR="5DA7F96A" w:rsidRPr="00214353" w:rsidRDefault="5DA7F96A">
            <w:pPr>
              <w:rPr>
                <w:rFonts w:cs="Arial"/>
                <w:szCs w:val="20"/>
              </w:rPr>
            </w:pPr>
            <w:r w:rsidRPr="00214353">
              <w:rPr>
                <w:rFonts w:eastAsia="Calibri" w:cs="Arial"/>
                <w:szCs w:val="20"/>
              </w:rPr>
              <w:lastRenderedPageBreak/>
              <w:t>Non-binary</w:t>
            </w:r>
          </w:p>
        </w:tc>
        <w:tc>
          <w:tcPr>
            <w:tcW w:w="1989" w:type="dxa"/>
            <w:tcBorders>
              <w:top w:val="single" w:sz="8" w:space="0" w:color="auto"/>
              <w:left w:val="single" w:sz="8" w:space="0" w:color="auto"/>
              <w:bottom w:val="single" w:sz="8" w:space="0" w:color="auto"/>
              <w:right w:val="single" w:sz="8" w:space="0" w:color="auto"/>
            </w:tcBorders>
          </w:tcPr>
          <w:p w14:paraId="70DE615A" w14:textId="4668FBFD" w:rsidR="5DA7F96A" w:rsidRPr="00214353" w:rsidRDefault="5DA7F96A">
            <w:pPr>
              <w:rPr>
                <w:rFonts w:cs="Arial"/>
                <w:szCs w:val="20"/>
              </w:rPr>
            </w:pPr>
            <w:r w:rsidRPr="00214353">
              <w:rPr>
                <w:rFonts w:eastAsia="Calibri" w:cs="Arial"/>
                <w:szCs w:val="20"/>
              </w:rPr>
              <w:t xml:space="preserve"> -</w:t>
            </w:r>
          </w:p>
        </w:tc>
        <w:tc>
          <w:tcPr>
            <w:tcW w:w="3539" w:type="dxa"/>
            <w:tcBorders>
              <w:top w:val="single" w:sz="8" w:space="0" w:color="auto"/>
              <w:left w:val="single" w:sz="8" w:space="0" w:color="auto"/>
              <w:bottom w:val="single" w:sz="8" w:space="0" w:color="auto"/>
              <w:right w:val="single" w:sz="8" w:space="0" w:color="auto"/>
            </w:tcBorders>
          </w:tcPr>
          <w:p w14:paraId="513C85D7" w14:textId="2D7DE380" w:rsidR="5DA7F96A" w:rsidRPr="00214353" w:rsidRDefault="27513D33" w:rsidP="27513D33">
            <w:pPr>
              <w:spacing w:after="120" w:line="264" w:lineRule="auto"/>
              <w:rPr>
                <w:rFonts w:eastAsia="Calibri" w:cs="Arial"/>
                <w:szCs w:val="20"/>
              </w:rPr>
            </w:pPr>
            <w:r w:rsidRPr="00214353">
              <w:rPr>
                <w:rFonts w:eastAsia="Calibri" w:cs="Arial"/>
                <w:szCs w:val="20"/>
              </w:rPr>
              <w:t>-</w:t>
            </w:r>
          </w:p>
        </w:tc>
      </w:tr>
      <w:tr w:rsidR="5DA7F96A" w:rsidRPr="00214353" w14:paraId="7E32ADF8" w14:textId="77777777" w:rsidTr="001B6040">
        <w:tc>
          <w:tcPr>
            <w:tcW w:w="41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B1A8812" w14:textId="4F5B0209" w:rsidR="5DA7F96A" w:rsidRPr="00214353" w:rsidRDefault="5DA7F96A">
            <w:pPr>
              <w:rPr>
                <w:rFonts w:cs="Arial"/>
                <w:szCs w:val="20"/>
              </w:rPr>
            </w:pPr>
            <w:r w:rsidRPr="00214353">
              <w:rPr>
                <w:rFonts w:eastAsia="Calibri" w:cs="Arial"/>
                <w:b/>
                <w:bCs/>
                <w:szCs w:val="20"/>
              </w:rPr>
              <w:t xml:space="preserve">Diversity </w:t>
            </w:r>
            <w:r w:rsidR="00843E62" w:rsidRPr="00214353">
              <w:rPr>
                <w:rFonts w:eastAsia="Calibri" w:cs="Arial"/>
                <w:b/>
                <w:bCs/>
                <w:szCs w:val="20"/>
              </w:rPr>
              <w:t>g</w:t>
            </w:r>
            <w:r w:rsidRPr="00214353">
              <w:rPr>
                <w:rFonts w:eastAsia="Calibri" w:cs="Arial"/>
                <w:b/>
                <w:bCs/>
                <w:szCs w:val="20"/>
              </w:rPr>
              <w:t>roups</w:t>
            </w:r>
          </w:p>
        </w:tc>
        <w:tc>
          <w:tcPr>
            <w:tcW w:w="19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2AD1FBE" w14:textId="0A575AC6" w:rsidR="5DA7F96A" w:rsidRPr="00214353" w:rsidRDefault="5DA7F96A">
            <w:pPr>
              <w:rPr>
                <w:rFonts w:cs="Arial"/>
                <w:szCs w:val="20"/>
              </w:rPr>
            </w:pPr>
            <w:r w:rsidRPr="00214353">
              <w:rPr>
                <w:rFonts w:eastAsia="Calibri" w:cs="Arial"/>
                <w:b/>
                <w:bCs/>
                <w:szCs w:val="20"/>
              </w:rPr>
              <w:t>Number</w:t>
            </w:r>
          </w:p>
          <w:p w14:paraId="58E1830D" w14:textId="6E167AC0" w:rsidR="5DA7F96A" w:rsidRPr="00214353" w:rsidRDefault="5DA7F96A">
            <w:pPr>
              <w:rPr>
                <w:rFonts w:cs="Arial"/>
                <w:szCs w:val="20"/>
              </w:rPr>
            </w:pPr>
            <w:r w:rsidRPr="00214353">
              <w:rPr>
                <w:rFonts w:eastAsia="Calibri" w:cs="Arial"/>
                <w:b/>
                <w:bCs/>
                <w:szCs w:val="20"/>
              </w:rPr>
              <w:t>(</w:t>
            </w:r>
            <w:r w:rsidR="00843E62" w:rsidRPr="00214353">
              <w:rPr>
                <w:rFonts w:eastAsia="Calibri" w:cs="Arial"/>
                <w:b/>
                <w:bCs/>
                <w:szCs w:val="20"/>
              </w:rPr>
              <w:t>h</w:t>
            </w:r>
            <w:r w:rsidRPr="00214353">
              <w:rPr>
                <w:rFonts w:eastAsia="Calibri" w:cs="Arial"/>
                <w:b/>
                <w:bCs/>
                <w:szCs w:val="20"/>
              </w:rPr>
              <w:t>eadcount)</w:t>
            </w:r>
          </w:p>
        </w:tc>
        <w:tc>
          <w:tcPr>
            <w:tcW w:w="35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36D13C9" w14:textId="2EA43755" w:rsidR="5DA7F96A" w:rsidRPr="00214353" w:rsidRDefault="5DA7F96A">
            <w:pPr>
              <w:rPr>
                <w:rFonts w:cs="Arial"/>
                <w:szCs w:val="20"/>
              </w:rPr>
            </w:pPr>
            <w:r w:rsidRPr="00214353">
              <w:rPr>
                <w:rFonts w:eastAsia="Calibri" w:cs="Arial"/>
                <w:b/>
                <w:bCs/>
                <w:szCs w:val="20"/>
              </w:rPr>
              <w:t>Percentage of total workforce</w:t>
            </w:r>
          </w:p>
          <w:p w14:paraId="6B35C832" w14:textId="35ECF016" w:rsidR="5DA7F96A" w:rsidRPr="00214353" w:rsidRDefault="5DA7F96A">
            <w:pPr>
              <w:rPr>
                <w:rFonts w:cs="Arial"/>
                <w:szCs w:val="20"/>
              </w:rPr>
            </w:pPr>
            <w:r w:rsidRPr="00214353">
              <w:rPr>
                <w:rFonts w:eastAsia="Calibri" w:cs="Arial"/>
                <w:b/>
                <w:bCs/>
                <w:szCs w:val="20"/>
              </w:rPr>
              <w:t>(</w:t>
            </w:r>
            <w:proofErr w:type="gramStart"/>
            <w:r w:rsidR="00843E62" w:rsidRPr="00214353">
              <w:rPr>
                <w:rFonts w:eastAsia="Calibri" w:cs="Arial"/>
                <w:b/>
                <w:bCs/>
                <w:szCs w:val="20"/>
              </w:rPr>
              <w:t>c</w:t>
            </w:r>
            <w:r w:rsidRPr="00214353">
              <w:rPr>
                <w:rFonts w:eastAsia="Calibri" w:cs="Arial"/>
                <w:b/>
                <w:bCs/>
                <w:szCs w:val="20"/>
              </w:rPr>
              <w:t>alculated</w:t>
            </w:r>
            <w:proofErr w:type="gramEnd"/>
            <w:r w:rsidRPr="00214353">
              <w:rPr>
                <w:rFonts w:eastAsia="Calibri" w:cs="Arial"/>
                <w:b/>
                <w:bCs/>
                <w:szCs w:val="20"/>
              </w:rPr>
              <w:t xml:space="preserve"> on headcount)</w:t>
            </w:r>
          </w:p>
        </w:tc>
      </w:tr>
      <w:tr w:rsidR="5DA7F96A" w:rsidRPr="00214353" w14:paraId="3D2B51A6" w14:textId="77777777" w:rsidTr="001B6040">
        <w:tc>
          <w:tcPr>
            <w:tcW w:w="4101" w:type="dxa"/>
            <w:tcBorders>
              <w:top w:val="single" w:sz="8" w:space="0" w:color="auto"/>
              <w:left w:val="single" w:sz="8" w:space="0" w:color="auto"/>
              <w:bottom w:val="single" w:sz="8" w:space="0" w:color="auto"/>
              <w:right w:val="single" w:sz="8" w:space="0" w:color="auto"/>
            </w:tcBorders>
          </w:tcPr>
          <w:p w14:paraId="0AA615F9" w14:textId="32FC7D92" w:rsidR="5DA7F96A" w:rsidRPr="00214353" w:rsidRDefault="5DA7F96A">
            <w:pPr>
              <w:rPr>
                <w:rFonts w:cs="Arial"/>
                <w:szCs w:val="20"/>
              </w:rPr>
            </w:pPr>
            <w:r w:rsidRPr="00214353">
              <w:rPr>
                <w:rFonts w:eastAsia="Calibri" w:cs="Arial"/>
                <w:szCs w:val="20"/>
              </w:rPr>
              <w:t>Women</w:t>
            </w:r>
          </w:p>
        </w:tc>
        <w:tc>
          <w:tcPr>
            <w:tcW w:w="1989" w:type="dxa"/>
            <w:tcBorders>
              <w:top w:val="single" w:sz="8" w:space="0" w:color="auto"/>
              <w:left w:val="single" w:sz="8" w:space="0" w:color="auto"/>
              <w:bottom w:val="single" w:sz="8" w:space="0" w:color="auto"/>
              <w:right w:val="single" w:sz="8" w:space="0" w:color="auto"/>
            </w:tcBorders>
          </w:tcPr>
          <w:p w14:paraId="50F23CB5" w14:textId="250261CC" w:rsidR="5DA7F96A" w:rsidRPr="00214353" w:rsidRDefault="3964BA0A" w:rsidP="12878F5D">
            <w:pPr>
              <w:rPr>
                <w:rFonts w:cs="Arial"/>
              </w:rPr>
            </w:pPr>
            <w:r w:rsidRPr="00214353">
              <w:rPr>
                <w:rFonts w:eastAsia="Calibri" w:cs="Arial"/>
              </w:rPr>
              <w:t xml:space="preserve"> </w:t>
            </w:r>
            <w:r w:rsidR="7C3701C6" w:rsidRPr="00214353">
              <w:rPr>
                <w:rFonts w:eastAsia="Calibri" w:cs="Arial"/>
              </w:rPr>
              <w:t>63</w:t>
            </w:r>
          </w:p>
        </w:tc>
        <w:tc>
          <w:tcPr>
            <w:tcW w:w="3539" w:type="dxa"/>
            <w:tcBorders>
              <w:top w:val="single" w:sz="8" w:space="0" w:color="auto"/>
              <w:left w:val="single" w:sz="8" w:space="0" w:color="auto"/>
              <w:bottom w:val="single" w:sz="8" w:space="0" w:color="auto"/>
              <w:right w:val="single" w:sz="8" w:space="0" w:color="auto"/>
            </w:tcBorders>
          </w:tcPr>
          <w:p w14:paraId="7947A6A3" w14:textId="3E131147" w:rsidR="5DA7F96A" w:rsidRPr="00214353" w:rsidRDefault="3964BA0A" w:rsidP="12878F5D">
            <w:pPr>
              <w:rPr>
                <w:rFonts w:cs="Arial"/>
              </w:rPr>
            </w:pPr>
            <w:r w:rsidRPr="00214353">
              <w:rPr>
                <w:rFonts w:eastAsia="Calibri" w:cs="Arial"/>
              </w:rPr>
              <w:t xml:space="preserve"> </w:t>
            </w:r>
            <w:r w:rsidR="5161BDF4" w:rsidRPr="00214353">
              <w:rPr>
                <w:rFonts w:eastAsia="Calibri" w:cs="Arial"/>
              </w:rPr>
              <w:t>82</w:t>
            </w:r>
          </w:p>
        </w:tc>
      </w:tr>
      <w:tr w:rsidR="5DA7F96A" w:rsidRPr="00214353" w14:paraId="74C7B46F" w14:textId="77777777" w:rsidTr="001B6040">
        <w:tc>
          <w:tcPr>
            <w:tcW w:w="4101" w:type="dxa"/>
            <w:tcBorders>
              <w:top w:val="single" w:sz="8" w:space="0" w:color="auto"/>
              <w:left w:val="single" w:sz="8" w:space="0" w:color="auto"/>
              <w:bottom w:val="single" w:sz="8" w:space="0" w:color="auto"/>
              <w:right w:val="single" w:sz="8" w:space="0" w:color="auto"/>
            </w:tcBorders>
          </w:tcPr>
          <w:p w14:paraId="294636FF" w14:textId="23F16C26" w:rsidR="5DA7F96A" w:rsidRPr="00214353" w:rsidRDefault="5DA7F96A">
            <w:pPr>
              <w:rPr>
                <w:rFonts w:cs="Arial"/>
                <w:szCs w:val="20"/>
              </w:rPr>
            </w:pPr>
            <w:r w:rsidRPr="00214353">
              <w:rPr>
                <w:rFonts w:eastAsia="Calibri" w:cs="Arial"/>
                <w:szCs w:val="20"/>
              </w:rPr>
              <w:t>Aboriginal Peoples and Torres Strait Islander Peoples</w:t>
            </w:r>
          </w:p>
        </w:tc>
        <w:tc>
          <w:tcPr>
            <w:tcW w:w="1989" w:type="dxa"/>
            <w:tcBorders>
              <w:top w:val="single" w:sz="8" w:space="0" w:color="auto"/>
              <w:left w:val="single" w:sz="8" w:space="0" w:color="auto"/>
              <w:bottom w:val="single" w:sz="8" w:space="0" w:color="auto"/>
              <w:right w:val="single" w:sz="8" w:space="0" w:color="auto"/>
            </w:tcBorders>
          </w:tcPr>
          <w:p w14:paraId="1D5E0EB7" w14:textId="676E8A87" w:rsidR="5DA7F96A" w:rsidRPr="00214353" w:rsidRDefault="3964BA0A" w:rsidP="12878F5D">
            <w:pPr>
              <w:rPr>
                <w:rFonts w:cs="Arial"/>
              </w:rPr>
            </w:pPr>
            <w:r w:rsidRPr="00214353">
              <w:rPr>
                <w:rFonts w:eastAsia="Calibri" w:cs="Arial"/>
              </w:rPr>
              <w:t xml:space="preserve"> </w:t>
            </w:r>
            <w:r w:rsidR="52D6CEDC" w:rsidRPr="00214353">
              <w:rPr>
                <w:rFonts w:eastAsia="Calibri" w:cs="Arial"/>
              </w:rPr>
              <w:t>&lt;5</w:t>
            </w:r>
          </w:p>
        </w:tc>
        <w:tc>
          <w:tcPr>
            <w:tcW w:w="3539" w:type="dxa"/>
            <w:tcBorders>
              <w:top w:val="single" w:sz="8" w:space="0" w:color="auto"/>
              <w:left w:val="single" w:sz="8" w:space="0" w:color="auto"/>
              <w:bottom w:val="single" w:sz="8" w:space="0" w:color="auto"/>
              <w:right w:val="single" w:sz="8" w:space="0" w:color="auto"/>
            </w:tcBorders>
          </w:tcPr>
          <w:p w14:paraId="27853F97" w14:textId="47B07D85" w:rsidR="5DA7F96A" w:rsidRPr="00214353" w:rsidRDefault="5DA7F96A" w:rsidP="04BC38AF">
            <w:pPr>
              <w:spacing w:after="120" w:line="264" w:lineRule="auto"/>
              <w:rPr>
                <w:rFonts w:cs="Arial"/>
                <w:szCs w:val="20"/>
              </w:rPr>
            </w:pPr>
          </w:p>
        </w:tc>
      </w:tr>
      <w:tr w:rsidR="5DA7F96A" w:rsidRPr="00214353" w14:paraId="161C06C0" w14:textId="77777777" w:rsidTr="001B6040">
        <w:tc>
          <w:tcPr>
            <w:tcW w:w="4101" w:type="dxa"/>
            <w:tcBorders>
              <w:top w:val="single" w:sz="8" w:space="0" w:color="auto"/>
              <w:left w:val="single" w:sz="8" w:space="0" w:color="auto"/>
              <w:bottom w:val="single" w:sz="8" w:space="0" w:color="auto"/>
              <w:right w:val="single" w:sz="8" w:space="0" w:color="auto"/>
            </w:tcBorders>
          </w:tcPr>
          <w:p w14:paraId="67BB24AD" w14:textId="4E4166C3" w:rsidR="5DA7F96A" w:rsidRPr="00214353" w:rsidRDefault="5DA7F96A">
            <w:pPr>
              <w:rPr>
                <w:rFonts w:cs="Arial"/>
                <w:szCs w:val="20"/>
              </w:rPr>
            </w:pPr>
            <w:r w:rsidRPr="00214353">
              <w:rPr>
                <w:rFonts w:eastAsia="Calibri" w:cs="Arial"/>
                <w:szCs w:val="20"/>
              </w:rPr>
              <w:t>People with disability</w:t>
            </w:r>
          </w:p>
        </w:tc>
        <w:tc>
          <w:tcPr>
            <w:tcW w:w="1989" w:type="dxa"/>
            <w:tcBorders>
              <w:top w:val="single" w:sz="8" w:space="0" w:color="auto"/>
              <w:left w:val="single" w:sz="8" w:space="0" w:color="auto"/>
              <w:bottom w:val="single" w:sz="8" w:space="0" w:color="auto"/>
              <w:right w:val="single" w:sz="8" w:space="0" w:color="auto"/>
            </w:tcBorders>
          </w:tcPr>
          <w:p w14:paraId="292037B1" w14:textId="2713AB0F" w:rsidR="5DA7F96A" w:rsidRPr="00214353" w:rsidRDefault="4539AB5C" w:rsidP="12878F5D">
            <w:pPr>
              <w:rPr>
                <w:rFonts w:cs="Arial"/>
              </w:rPr>
            </w:pPr>
            <w:r w:rsidRPr="00214353">
              <w:rPr>
                <w:rFonts w:eastAsia="Calibri" w:cs="Arial"/>
              </w:rPr>
              <w:t>6</w:t>
            </w:r>
          </w:p>
        </w:tc>
        <w:tc>
          <w:tcPr>
            <w:tcW w:w="3539" w:type="dxa"/>
            <w:tcBorders>
              <w:top w:val="single" w:sz="8" w:space="0" w:color="auto"/>
              <w:left w:val="single" w:sz="8" w:space="0" w:color="auto"/>
              <w:bottom w:val="single" w:sz="8" w:space="0" w:color="auto"/>
              <w:right w:val="single" w:sz="8" w:space="0" w:color="auto"/>
            </w:tcBorders>
          </w:tcPr>
          <w:p w14:paraId="1DF8E647" w14:textId="01DDA99D" w:rsidR="5DA7F96A" w:rsidRPr="00214353" w:rsidRDefault="5AE14849" w:rsidP="12878F5D">
            <w:pPr>
              <w:spacing w:after="120" w:line="264" w:lineRule="auto"/>
              <w:rPr>
                <w:rFonts w:cs="Arial"/>
              </w:rPr>
            </w:pPr>
            <w:r w:rsidRPr="00214353">
              <w:rPr>
                <w:rFonts w:cs="Arial"/>
              </w:rPr>
              <w:t>8</w:t>
            </w:r>
          </w:p>
        </w:tc>
      </w:tr>
      <w:tr w:rsidR="5DA7F96A" w:rsidRPr="00214353" w14:paraId="41FC2346" w14:textId="77777777" w:rsidTr="001B6040">
        <w:tc>
          <w:tcPr>
            <w:tcW w:w="4101" w:type="dxa"/>
            <w:tcBorders>
              <w:top w:val="single" w:sz="8" w:space="0" w:color="auto"/>
              <w:left w:val="single" w:sz="8" w:space="0" w:color="auto"/>
              <w:bottom w:val="single" w:sz="8" w:space="0" w:color="auto"/>
              <w:right w:val="single" w:sz="8" w:space="0" w:color="auto"/>
            </w:tcBorders>
          </w:tcPr>
          <w:p w14:paraId="5BC41200" w14:textId="7D26589B" w:rsidR="5DA7F96A" w:rsidRPr="00214353" w:rsidRDefault="001E1202" w:rsidP="001E1202">
            <w:pPr>
              <w:rPr>
                <w:rFonts w:eastAsia="Calibri" w:cs="Arial"/>
                <w:szCs w:val="20"/>
              </w:rPr>
            </w:pPr>
            <w:r w:rsidRPr="00214353">
              <w:rPr>
                <w:rFonts w:eastAsia="Calibri" w:cs="Arial"/>
                <w:szCs w:val="20"/>
              </w:rPr>
              <w:t>Culturally and Linguistically Diverse – Speak a language at home other than English^</w:t>
            </w:r>
          </w:p>
        </w:tc>
        <w:tc>
          <w:tcPr>
            <w:tcW w:w="1989" w:type="dxa"/>
            <w:tcBorders>
              <w:top w:val="single" w:sz="8" w:space="0" w:color="auto"/>
              <w:left w:val="single" w:sz="8" w:space="0" w:color="auto"/>
              <w:bottom w:val="single" w:sz="8" w:space="0" w:color="auto"/>
              <w:right w:val="single" w:sz="8" w:space="0" w:color="auto"/>
            </w:tcBorders>
          </w:tcPr>
          <w:p w14:paraId="58B81AE3" w14:textId="38962E06" w:rsidR="5DA7F96A" w:rsidRPr="00214353" w:rsidRDefault="3964BA0A" w:rsidP="12878F5D">
            <w:pPr>
              <w:rPr>
                <w:rFonts w:cs="Arial"/>
              </w:rPr>
            </w:pPr>
            <w:r w:rsidRPr="00214353">
              <w:rPr>
                <w:rFonts w:eastAsia="Calibri" w:cs="Arial"/>
              </w:rPr>
              <w:t xml:space="preserve"> </w:t>
            </w:r>
            <w:r w:rsidR="507C56A9" w:rsidRPr="00214353">
              <w:rPr>
                <w:rFonts w:eastAsia="Calibri" w:cs="Arial"/>
              </w:rPr>
              <w:t>&lt;5</w:t>
            </w:r>
          </w:p>
        </w:tc>
        <w:tc>
          <w:tcPr>
            <w:tcW w:w="3539" w:type="dxa"/>
            <w:tcBorders>
              <w:top w:val="single" w:sz="8" w:space="0" w:color="auto"/>
              <w:left w:val="single" w:sz="8" w:space="0" w:color="auto"/>
              <w:bottom w:val="single" w:sz="8" w:space="0" w:color="auto"/>
              <w:right w:val="single" w:sz="8" w:space="0" w:color="auto"/>
            </w:tcBorders>
          </w:tcPr>
          <w:p w14:paraId="3CBFA036" w14:textId="74707245" w:rsidR="5DA7F96A" w:rsidRPr="00214353" w:rsidRDefault="5DA7F96A" w:rsidP="12878F5D">
            <w:pPr>
              <w:spacing w:after="120" w:line="264" w:lineRule="auto"/>
              <w:rPr>
                <w:rFonts w:cs="Arial"/>
              </w:rPr>
            </w:pPr>
          </w:p>
        </w:tc>
      </w:tr>
      <w:tr w:rsidR="00392B29" w:rsidRPr="00214353" w14:paraId="4CA0126D" w14:textId="77777777" w:rsidTr="001B6040">
        <w:tc>
          <w:tcPr>
            <w:tcW w:w="41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1811E26" w14:textId="77777777" w:rsidR="00392B29" w:rsidRPr="00214353" w:rsidRDefault="00392B29" w:rsidP="00597B29">
            <w:pPr>
              <w:rPr>
                <w:rFonts w:eastAsia="Calibri" w:cs="Arial"/>
                <w:b/>
                <w:bCs/>
                <w:szCs w:val="20"/>
              </w:rPr>
            </w:pPr>
          </w:p>
        </w:tc>
        <w:tc>
          <w:tcPr>
            <w:tcW w:w="198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0E4D659" w14:textId="77777777" w:rsidR="00850A5E" w:rsidRPr="00214353" w:rsidRDefault="00850A5E" w:rsidP="00850A5E">
            <w:pPr>
              <w:rPr>
                <w:rFonts w:eastAsia="Calibri" w:cs="Arial"/>
                <w:b/>
                <w:bCs/>
                <w:szCs w:val="20"/>
              </w:rPr>
            </w:pPr>
            <w:r w:rsidRPr="00214353">
              <w:rPr>
                <w:rFonts w:eastAsia="Calibri" w:cs="Arial"/>
                <w:b/>
                <w:bCs/>
                <w:szCs w:val="20"/>
              </w:rPr>
              <w:t xml:space="preserve">Women </w:t>
            </w:r>
          </w:p>
          <w:p w14:paraId="305BEE8B" w14:textId="45FFF2AB" w:rsidR="00392B29" w:rsidRPr="00214353" w:rsidRDefault="00850A5E" w:rsidP="00850A5E">
            <w:pPr>
              <w:rPr>
                <w:rFonts w:eastAsia="Calibri" w:cs="Arial"/>
                <w:b/>
                <w:bCs/>
                <w:szCs w:val="20"/>
              </w:rPr>
            </w:pPr>
            <w:r w:rsidRPr="00214353">
              <w:rPr>
                <w:rFonts w:eastAsia="Calibri" w:cs="Arial"/>
                <w:b/>
                <w:bCs/>
                <w:szCs w:val="20"/>
              </w:rPr>
              <w:t>(Headcount)</w:t>
            </w:r>
          </w:p>
        </w:tc>
        <w:tc>
          <w:tcPr>
            <w:tcW w:w="35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5FA235F" w14:textId="593B95A1" w:rsidR="00850A5E" w:rsidRPr="00214353" w:rsidRDefault="00850A5E" w:rsidP="00850A5E">
            <w:pPr>
              <w:rPr>
                <w:rFonts w:eastAsia="Calibri" w:cs="Arial"/>
                <w:b/>
                <w:bCs/>
                <w:szCs w:val="20"/>
              </w:rPr>
            </w:pPr>
            <w:r w:rsidRPr="00214353">
              <w:rPr>
                <w:rFonts w:eastAsia="Calibri" w:cs="Arial"/>
                <w:b/>
                <w:bCs/>
                <w:szCs w:val="20"/>
              </w:rPr>
              <w:t xml:space="preserve">Women as percentage of </w:t>
            </w:r>
          </w:p>
          <w:p w14:paraId="42217680" w14:textId="5CC214E2" w:rsidR="00850A5E" w:rsidRPr="00214353" w:rsidRDefault="00850A5E" w:rsidP="00850A5E">
            <w:pPr>
              <w:rPr>
                <w:rFonts w:eastAsia="Calibri" w:cs="Arial"/>
                <w:b/>
                <w:bCs/>
                <w:szCs w:val="20"/>
              </w:rPr>
            </w:pPr>
            <w:r w:rsidRPr="00214353">
              <w:rPr>
                <w:rFonts w:eastAsia="Calibri" w:cs="Arial"/>
                <w:b/>
                <w:bCs/>
                <w:szCs w:val="20"/>
              </w:rPr>
              <w:t xml:space="preserve">total leadership cohort </w:t>
            </w:r>
          </w:p>
          <w:p w14:paraId="5DD19723" w14:textId="3172E84B" w:rsidR="00392B29" w:rsidRPr="00214353" w:rsidRDefault="00850A5E" w:rsidP="00850A5E">
            <w:pPr>
              <w:rPr>
                <w:rFonts w:eastAsia="Calibri" w:cs="Arial"/>
                <w:b/>
                <w:bCs/>
                <w:szCs w:val="20"/>
              </w:rPr>
            </w:pPr>
            <w:r w:rsidRPr="00214353">
              <w:rPr>
                <w:rFonts w:eastAsia="Calibri" w:cs="Arial"/>
                <w:b/>
                <w:bCs/>
                <w:szCs w:val="20"/>
              </w:rPr>
              <w:t>(</w:t>
            </w:r>
            <w:proofErr w:type="gramStart"/>
            <w:r w:rsidRPr="00214353">
              <w:rPr>
                <w:rFonts w:eastAsia="Calibri" w:cs="Arial"/>
                <w:b/>
                <w:bCs/>
                <w:szCs w:val="20"/>
              </w:rPr>
              <w:t>calculated</w:t>
            </w:r>
            <w:proofErr w:type="gramEnd"/>
            <w:r w:rsidRPr="00214353">
              <w:rPr>
                <w:rFonts w:eastAsia="Calibri" w:cs="Arial"/>
                <w:b/>
                <w:bCs/>
                <w:szCs w:val="20"/>
              </w:rPr>
              <w:t xml:space="preserve"> on headcount)</w:t>
            </w:r>
          </w:p>
        </w:tc>
      </w:tr>
      <w:tr w:rsidR="00392B29" w:rsidRPr="00214353" w14:paraId="3D82E3A7" w14:textId="77777777" w:rsidTr="001B6040">
        <w:tc>
          <w:tcPr>
            <w:tcW w:w="4101" w:type="dxa"/>
            <w:tcBorders>
              <w:top w:val="single" w:sz="8" w:space="0" w:color="auto"/>
              <w:left w:val="single" w:sz="8" w:space="0" w:color="auto"/>
              <w:bottom w:val="single" w:sz="8" w:space="0" w:color="auto"/>
              <w:right w:val="single" w:sz="8" w:space="0" w:color="auto"/>
            </w:tcBorders>
          </w:tcPr>
          <w:p w14:paraId="32CFC1DE" w14:textId="77777777" w:rsidR="00093014" w:rsidRPr="00214353" w:rsidRDefault="00093014" w:rsidP="00093014">
            <w:pPr>
              <w:rPr>
                <w:rFonts w:eastAsia="Calibri" w:cs="Arial"/>
                <w:szCs w:val="20"/>
              </w:rPr>
            </w:pPr>
            <w:r w:rsidRPr="00214353">
              <w:rPr>
                <w:rFonts w:eastAsia="Calibri" w:cs="Arial"/>
                <w:szCs w:val="20"/>
              </w:rPr>
              <w:t xml:space="preserve">Senior Officers </w:t>
            </w:r>
          </w:p>
          <w:p w14:paraId="33EFAAFA" w14:textId="674D3544" w:rsidR="00392B29" w:rsidRPr="00214353" w:rsidRDefault="00093014" w:rsidP="00093014">
            <w:pPr>
              <w:rPr>
                <w:rFonts w:cs="Arial"/>
                <w:szCs w:val="20"/>
              </w:rPr>
            </w:pPr>
            <w:r w:rsidRPr="00214353">
              <w:rPr>
                <w:rFonts w:eastAsia="Calibri" w:cs="Arial"/>
                <w:szCs w:val="20"/>
              </w:rPr>
              <w:t>(Classified and s122 equivalent combined)</w:t>
            </w:r>
          </w:p>
        </w:tc>
        <w:tc>
          <w:tcPr>
            <w:tcW w:w="1989" w:type="dxa"/>
            <w:tcBorders>
              <w:top w:val="single" w:sz="8" w:space="0" w:color="auto"/>
              <w:left w:val="single" w:sz="8" w:space="0" w:color="auto"/>
              <w:bottom w:val="single" w:sz="8" w:space="0" w:color="auto"/>
              <w:right w:val="single" w:sz="8" w:space="0" w:color="auto"/>
            </w:tcBorders>
          </w:tcPr>
          <w:p w14:paraId="0C7F0853" w14:textId="36B2E4C2" w:rsidR="00392B29" w:rsidRPr="00214353" w:rsidRDefault="34755094" w:rsidP="12878F5D">
            <w:pPr>
              <w:rPr>
                <w:rFonts w:cs="Arial"/>
              </w:rPr>
            </w:pPr>
            <w:r w:rsidRPr="00214353">
              <w:rPr>
                <w:rFonts w:eastAsia="Calibri" w:cs="Arial"/>
              </w:rPr>
              <w:t>9</w:t>
            </w:r>
          </w:p>
        </w:tc>
        <w:tc>
          <w:tcPr>
            <w:tcW w:w="3539" w:type="dxa"/>
            <w:tcBorders>
              <w:top w:val="single" w:sz="8" w:space="0" w:color="auto"/>
              <w:left w:val="single" w:sz="8" w:space="0" w:color="auto"/>
              <w:bottom w:val="single" w:sz="8" w:space="0" w:color="auto"/>
              <w:right w:val="single" w:sz="8" w:space="0" w:color="auto"/>
            </w:tcBorders>
          </w:tcPr>
          <w:p w14:paraId="006F00EB" w14:textId="663D3944" w:rsidR="00392B29" w:rsidRPr="00214353" w:rsidRDefault="2B6BA2ED" w:rsidP="12878F5D">
            <w:pPr>
              <w:rPr>
                <w:rFonts w:eastAsia="Calibri" w:cs="Arial"/>
              </w:rPr>
            </w:pPr>
            <w:r w:rsidRPr="00214353">
              <w:rPr>
                <w:rFonts w:eastAsia="Calibri" w:cs="Arial"/>
              </w:rPr>
              <w:t>60</w:t>
            </w:r>
          </w:p>
        </w:tc>
      </w:tr>
      <w:tr w:rsidR="00093014" w:rsidRPr="00F5652A" w14:paraId="451CDD87" w14:textId="77777777" w:rsidTr="001B6040">
        <w:tc>
          <w:tcPr>
            <w:tcW w:w="4101" w:type="dxa"/>
            <w:tcBorders>
              <w:top w:val="single" w:sz="8" w:space="0" w:color="auto"/>
              <w:left w:val="single" w:sz="8" w:space="0" w:color="auto"/>
              <w:bottom w:val="single" w:sz="8" w:space="0" w:color="auto"/>
              <w:right w:val="single" w:sz="8" w:space="0" w:color="auto"/>
            </w:tcBorders>
          </w:tcPr>
          <w:p w14:paraId="54390DC4" w14:textId="1F00DE17" w:rsidR="00093014" w:rsidRPr="00214353" w:rsidRDefault="00093014" w:rsidP="00093014">
            <w:pPr>
              <w:rPr>
                <w:rFonts w:eastAsia="Calibri" w:cs="Arial"/>
                <w:szCs w:val="20"/>
              </w:rPr>
            </w:pPr>
            <w:r w:rsidRPr="00214353">
              <w:rPr>
                <w:rFonts w:eastAsia="Calibri" w:cs="Arial"/>
                <w:szCs w:val="20"/>
              </w:rPr>
              <w:t>Senior Executive Service and Chief</w:t>
            </w:r>
            <w:r w:rsidR="003B074B" w:rsidRPr="00214353">
              <w:rPr>
                <w:rFonts w:eastAsia="Calibri" w:cs="Arial"/>
                <w:szCs w:val="20"/>
              </w:rPr>
              <w:t xml:space="preserve"> </w:t>
            </w:r>
            <w:r w:rsidRPr="00214353">
              <w:rPr>
                <w:rFonts w:eastAsia="Calibri" w:cs="Arial"/>
                <w:szCs w:val="20"/>
              </w:rPr>
              <w:t xml:space="preserve">Executives </w:t>
            </w:r>
          </w:p>
          <w:p w14:paraId="5D8468D1" w14:textId="2BD20959" w:rsidR="00093014" w:rsidRPr="00214353" w:rsidRDefault="00093014" w:rsidP="00093014">
            <w:pPr>
              <w:rPr>
                <w:rFonts w:eastAsia="Calibri" w:cs="Arial"/>
                <w:szCs w:val="20"/>
              </w:rPr>
            </w:pPr>
            <w:r w:rsidRPr="00214353">
              <w:rPr>
                <w:rFonts w:eastAsia="Calibri" w:cs="Arial"/>
                <w:szCs w:val="20"/>
              </w:rPr>
              <w:t>(Classified and s122 equivalent combined)</w:t>
            </w:r>
          </w:p>
        </w:tc>
        <w:tc>
          <w:tcPr>
            <w:tcW w:w="1989" w:type="dxa"/>
            <w:tcBorders>
              <w:top w:val="single" w:sz="8" w:space="0" w:color="auto"/>
              <w:left w:val="single" w:sz="8" w:space="0" w:color="auto"/>
              <w:bottom w:val="single" w:sz="8" w:space="0" w:color="auto"/>
              <w:right w:val="single" w:sz="8" w:space="0" w:color="auto"/>
            </w:tcBorders>
          </w:tcPr>
          <w:p w14:paraId="3BB60F57" w14:textId="2B175293" w:rsidR="00093014" w:rsidRPr="00214353" w:rsidRDefault="63C65A29" w:rsidP="12878F5D">
            <w:pPr>
              <w:rPr>
                <w:rFonts w:eastAsia="Calibri" w:cs="Arial"/>
              </w:rPr>
            </w:pPr>
            <w:r w:rsidRPr="00214353">
              <w:rPr>
                <w:rFonts w:eastAsia="Calibri" w:cs="Arial"/>
              </w:rPr>
              <w:t>5</w:t>
            </w:r>
          </w:p>
        </w:tc>
        <w:tc>
          <w:tcPr>
            <w:tcW w:w="3539" w:type="dxa"/>
            <w:tcBorders>
              <w:top w:val="single" w:sz="8" w:space="0" w:color="auto"/>
              <w:left w:val="single" w:sz="8" w:space="0" w:color="auto"/>
              <w:bottom w:val="single" w:sz="8" w:space="0" w:color="auto"/>
              <w:right w:val="single" w:sz="8" w:space="0" w:color="auto"/>
            </w:tcBorders>
          </w:tcPr>
          <w:p w14:paraId="52774848" w14:textId="258EB307" w:rsidR="00093014" w:rsidRPr="00F5652A" w:rsidRDefault="63C65A29" w:rsidP="12878F5D">
            <w:pPr>
              <w:rPr>
                <w:rFonts w:eastAsia="Calibri" w:cs="Arial"/>
              </w:rPr>
            </w:pPr>
            <w:r w:rsidRPr="00214353">
              <w:rPr>
                <w:rFonts w:eastAsia="Calibri" w:cs="Arial"/>
              </w:rPr>
              <w:t>62</w:t>
            </w:r>
          </w:p>
        </w:tc>
      </w:tr>
    </w:tbl>
    <w:p w14:paraId="074DFC80" w14:textId="06036F85" w:rsidR="002D5717" w:rsidRPr="0017769F" w:rsidRDefault="002D5717" w:rsidP="0017769F">
      <w:pPr>
        <w:pStyle w:val="NoSpacing"/>
        <w:rPr>
          <w:sz w:val="17"/>
          <w:szCs w:val="17"/>
        </w:rPr>
      </w:pPr>
      <w:r w:rsidRPr="0017769F">
        <w:rPr>
          <w:sz w:val="17"/>
          <w:szCs w:val="17"/>
        </w:rPr>
        <w:t xml:space="preserve">*To ensure privacy, in tables where there are less than 5 respondents in a category, specific numbers should be replaced by &lt;5. </w:t>
      </w:r>
    </w:p>
    <w:p w14:paraId="02D19A56" w14:textId="10B5E4B3" w:rsidR="001C6C50" w:rsidRPr="0017769F" w:rsidRDefault="002D5717" w:rsidP="0017769F">
      <w:pPr>
        <w:pStyle w:val="NoSpacing"/>
        <w:rPr>
          <w:rFonts w:eastAsia="Times New Roman"/>
          <w:sz w:val="17"/>
          <w:szCs w:val="17"/>
        </w:rPr>
      </w:pPr>
      <w:r w:rsidRPr="0017769F">
        <w:rPr>
          <w:sz w:val="17"/>
          <w:szCs w:val="17"/>
        </w:rPr>
        <w:t>^ This includes Aboriginal and Torres Strait Islander languages or Australian South Sea Islander languages spoken at home.</w:t>
      </w:r>
      <w:bookmarkStart w:id="282" w:name="_Toc141781816"/>
      <w:bookmarkStart w:id="283" w:name="_Toc141781978"/>
      <w:bookmarkStart w:id="284" w:name="_Toc74055916"/>
      <w:bookmarkStart w:id="285" w:name="_Toc76549870"/>
      <w:bookmarkStart w:id="286" w:name="_Toc79493380"/>
    </w:p>
    <w:p w14:paraId="6FB1B382" w14:textId="77777777" w:rsidR="00A26B8F" w:rsidRDefault="00A26B8F" w:rsidP="00A26B8F"/>
    <w:p w14:paraId="4A308423" w14:textId="16EF26D7" w:rsidR="00770661" w:rsidRPr="00A26B8F" w:rsidRDefault="007464BB" w:rsidP="00A26B8F">
      <w:pPr>
        <w:pStyle w:val="PSCHeading1"/>
      </w:pPr>
      <w:bookmarkStart w:id="287" w:name="_Toc145926924"/>
      <w:r w:rsidRPr="00A26B8F">
        <w:t xml:space="preserve">Early retirement, </w:t>
      </w:r>
      <w:proofErr w:type="gramStart"/>
      <w:r w:rsidRPr="00A26B8F">
        <w:t>redundancy</w:t>
      </w:r>
      <w:proofErr w:type="gramEnd"/>
      <w:r w:rsidRPr="00A26B8F">
        <w:t xml:space="preserve"> and retrenchment</w:t>
      </w:r>
      <w:bookmarkEnd w:id="282"/>
      <w:bookmarkEnd w:id="283"/>
      <w:bookmarkEnd w:id="287"/>
      <w:r w:rsidR="004F6B18" w:rsidRPr="00A26B8F">
        <w:t xml:space="preserve"> </w:t>
      </w:r>
    </w:p>
    <w:p w14:paraId="2433E886" w14:textId="2A743A75" w:rsidR="008A1DF7" w:rsidRDefault="00E17F61">
      <w:pPr>
        <w:rPr>
          <w:b/>
          <w:bCs/>
          <w:highlight w:val="green"/>
        </w:rPr>
      </w:pPr>
      <w:r>
        <w:t>No redundancy/early retirement/retrenchment packages were paid during the period</w:t>
      </w:r>
      <w:r w:rsidR="008C31EC">
        <w:t xml:space="preserve"> 2022</w:t>
      </w:r>
      <w:r w:rsidR="007C45BC">
        <w:t>–</w:t>
      </w:r>
      <w:r w:rsidR="008C31EC">
        <w:t>23</w:t>
      </w:r>
      <w:r>
        <w:t>.</w:t>
      </w:r>
    </w:p>
    <w:p w14:paraId="5A1F6FD4" w14:textId="41677C0D" w:rsidR="00833AB7" w:rsidRDefault="00833AB7" w:rsidP="00CF7C62">
      <w:pPr>
        <w:pStyle w:val="PSCHeading1"/>
      </w:pPr>
      <w:bookmarkStart w:id="288" w:name="_Toc74055917"/>
      <w:bookmarkStart w:id="289" w:name="_Toc76549871"/>
      <w:bookmarkStart w:id="290" w:name="_Toc79493381"/>
      <w:bookmarkStart w:id="291" w:name="_Toc141781817"/>
      <w:bookmarkStart w:id="292" w:name="_Toc141781979"/>
      <w:bookmarkStart w:id="293" w:name="_Toc145926925"/>
      <w:bookmarkEnd w:id="284"/>
      <w:bookmarkEnd w:id="285"/>
      <w:bookmarkEnd w:id="286"/>
      <w:r>
        <w:t>H</w:t>
      </w:r>
      <w:r w:rsidR="00F4448C">
        <w:t xml:space="preserve">ealth, </w:t>
      </w:r>
      <w:proofErr w:type="gramStart"/>
      <w:r>
        <w:t>safety</w:t>
      </w:r>
      <w:proofErr w:type="gramEnd"/>
      <w:r w:rsidR="00F4448C">
        <w:t xml:space="preserve"> and wellbeing</w:t>
      </w:r>
      <w:bookmarkEnd w:id="288"/>
      <w:bookmarkEnd w:id="289"/>
      <w:bookmarkEnd w:id="290"/>
      <w:bookmarkEnd w:id="291"/>
      <w:bookmarkEnd w:id="292"/>
      <w:bookmarkEnd w:id="293"/>
      <w:r w:rsidR="00E14AB0">
        <w:t xml:space="preserve"> </w:t>
      </w:r>
    </w:p>
    <w:p w14:paraId="7DD6D5F1" w14:textId="29A8315E" w:rsidR="00F75DF2" w:rsidRPr="00F75DF2" w:rsidRDefault="0067260F" w:rsidP="00CF7C62">
      <w:pPr>
        <w:spacing w:after="0"/>
      </w:pPr>
      <w:r>
        <w:t>D</w:t>
      </w:r>
      <w:r w:rsidR="00124160">
        <w:t>edicated</w:t>
      </w:r>
      <w:r w:rsidR="00F75DF2">
        <w:t xml:space="preserve"> to creating a healthy and safe workplace where employees can thrive</w:t>
      </w:r>
      <w:r>
        <w:t xml:space="preserve">, the </w:t>
      </w:r>
      <w:r w:rsidR="000A072C">
        <w:t>Commission</w:t>
      </w:r>
      <w:r>
        <w:t>:</w:t>
      </w:r>
      <w:r w:rsidR="00F75DF2">
        <w:t xml:space="preserve"> </w:t>
      </w:r>
    </w:p>
    <w:p w14:paraId="7305DEDE" w14:textId="495D5F79" w:rsidR="00973E3C" w:rsidRDefault="00973E3C" w:rsidP="00B56CF7">
      <w:pPr>
        <w:pStyle w:val="PSC-Bullets1"/>
      </w:pPr>
      <w:r>
        <w:t xml:space="preserve">encouraged flexible work practices to achieve a healthy work-life </w:t>
      </w:r>
      <w:proofErr w:type="gramStart"/>
      <w:r w:rsidR="009707DC">
        <w:t>balance</w:t>
      </w:r>
      <w:proofErr w:type="gramEnd"/>
      <w:r w:rsidR="009707DC">
        <w:t xml:space="preserve"> </w:t>
      </w:r>
    </w:p>
    <w:p w14:paraId="48D83E3A" w14:textId="61A7FF04" w:rsidR="00973E3C" w:rsidRDefault="00973E3C" w:rsidP="00B56CF7">
      <w:pPr>
        <w:pStyle w:val="PSC-Bullets1"/>
      </w:pPr>
      <w:r>
        <w:t>provided free flu vaccinations, health</w:t>
      </w:r>
      <w:r w:rsidR="00E14AB0">
        <w:t xml:space="preserve"> </w:t>
      </w:r>
      <w:r w:rsidR="00620C69">
        <w:t>checks, ergonomic</w:t>
      </w:r>
      <w:r>
        <w:t xml:space="preserve"> assessments and</w:t>
      </w:r>
      <w:r w:rsidR="00E14AB0">
        <w:t xml:space="preserve"> </w:t>
      </w:r>
      <w:r>
        <w:t>financial and superannuation information</w:t>
      </w:r>
      <w:r w:rsidR="00E14AB0">
        <w:t xml:space="preserve"> </w:t>
      </w:r>
      <w:proofErr w:type="gramStart"/>
      <w:r>
        <w:t>sessions</w:t>
      </w:r>
      <w:proofErr w:type="gramEnd"/>
    </w:p>
    <w:p w14:paraId="0DB7EB9A" w14:textId="41F9D649" w:rsidR="00973E3C" w:rsidRDefault="00973E3C" w:rsidP="00B56CF7">
      <w:pPr>
        <w:pStyle w:val="PSC-Bullets1"/>
      </w:pPr>
      <w:r>
        <w:t>promoted staff access to the Employee</w:t>
      </w:r>
      <w:r w:rsidR="00E14AB0">
        <w:t xml:space="preserve"> </w:t>
      </w:r>
      <w:r>
        <w:t>Assistance Program, which offers</w:t>
      </w:r>
      <w:r w:rsidR="00E14AB0">
        <w:t xml:space="preserve"> </w:t>
      </w:r>
      <w:r>
        <w:t>employees free, professional and</w:t>
      </w:r>
      <w:r w:rsidR="00E14AB0">
        <w:t xml:space="preserve"> </w:t>
      </w:r>
      <w:r>
        <w:t xml:space="preserve">confidential counselling </w:t>
      </w:r>
      <w:proofErr w:type="gramStart"/>
      <w:r>
        <w:t>services</w:t>
      </w:r>
      <w:proofErr w:type="gramEnd"/>
    </w:p>
    <w:p w14:paraId="6AFF190A" w14:textId="799BA529" w:rsidR="00973E3C" w:rsidRDefault="00973E3C" w:rsidP="00B56CF7">
      <w:pPr>
        <w:pStyle w:val="PSC-Bullets1"/>
      </w:pPr>
      <w:r>
        <w:t>raised awareness of DFV in the workplace</w:t>
      </w:r>
      <w:r w:rsidR="00E14AB0">
        <w:t xml:space="preserve"> </w:t>
      </w:r>
      <w:r>
        <w:t>and key prevention initiatives, including</w:t>
      </w:r>
      <w:r w:rsidR="00E14AB0">
        <w:t xml:space="preserve"> </w:t>
      </w:r>
      <w:r>
        <w:t>Darkness to Daylight Challenge, White</w:t>
      </w:r>
      <w:r w:rsidR="00E14AB0">
        <w:t xml:space="preserve"> </w:t>
      </w:r>
      <w:r>
        <w:t>Ribbon Day and Domestic and Family</w:t>
      </w:r>
      <w:r w:rsidR="00E14AB0">
        <w:t xml:space="preserve"> </w:t>
      </w:r>
      <w:r>
        <w:t>Violence Prevention Month</w:t>
      </w:r>
    </w:p>
    <w:p w14:paraId="1DFCFDC5" w14:textId="5E747489" w:rsidR="00714108" w:rsidRPr="00E17CBD" w:rsidRDefault="003937A6" w:rsidP="002C2571">
      <w:pPr>
        <w:pStyle w:val="PSC-Bullets1"/>
      </w:pPr>
      <w:r>
        <w:t xml:space="preserve">launched an internal cultural capability working </w:t>
      </w:r>
      <w:r w:rsidR="26881A70">
        <w:t>group</w:t>
      </w:r>
      <w:r>
        <w:t xml:space="preserve"> </w:t>
      </w:r>
      <w:r w:rsidR="002C2571">
        <w:t xml:space="preserve">to </w:t>
      </w:r>
      <w:r w:rsidR="02D3E433">
        <w:t>improve</w:t>
      </w:r>
      <w:r w:rsidR="002C2571">
        <w:t xml:space="preserve"> the Commission</w:t>
      </w:r>
      <w:r w:rsidR="1B619BCB">
        <w:t>’s</w:t>
      </w:r>
      <w:r w:rsidR="002C2571">
        <w:t xml:space="preserve"> </w:t>
      </w:r>
      <w:r w:rsidR="3F22A59E">
        <w:t>level of</w:t>
      </w:r>
      <w:r w:rsidR="002C2571">
        <w:t xml:space="preserve"> cultural awareness</w:t>
      </w:r>
      <w:r w:rsidR="002D0712">
        <w:t>, and to</w:t>
      </w:r>
      <w:r w:rsidR="00973E3C">
        <w:t xml:space="preserve"> </w:t>
      </w:r>
      <w:r w:rsidR="00A57416">
        <w:t xml:space="preserve">create </w:t>
      </w:r>
      <w:r w:rsidR="00973E3C">
        <w:t>a</w:t>
      </w:r>
      <w:r w:rsidR="00C733CA">
        <w:t xml:space="preserve"> </w:t>
      </w:r>
      <w:r w:rsidR="00973E3C">
        <w:t xml:space="preserve">culturally safe and capable workplace </w:t>
      </w:r>
      <w:r w:rsidR="00A022D0">
        <w:t>that has</w:t>
      </w:r>
      <w:r w:rsidR="00906875">
        <w:t xml:space="preserve"> </w:t>
      </w:r>
      <w:r w:rsidR="69905A69">
        <w:t xml:space="preserve">greater </w:t>
      </w:r>
      <w:r w:rsidR="00906875">
        <w:t xml:space="preserve">influence </w:t>
      </w:r>
      <w:r w:rsidR="4BD0C39F">
        <w:t xml:space="preserve">in strengthening the cultural capability </w:t>
      </w:r>
      <w:r w:rsidR="00906875">
        <w:t xml:space="preserve">across the </w:t>
      </w:r>
      <w:proofErr w:type="gramStart"/>
      <w:r w:rsidR="00906875">
        <w:t>sector</w:t>
      </w:r>
      <w:proofErr w:type="gramEnd"/>
    </w:p>
    <w:p w14:paraId="7EA611C6" w14:textId="0F0202A9" w:rsidR="00263AD6" w:rsidRPr="00A64D53" w:rsidRDefault="00263AD6" w:rsidP="00B56CF7">
      <w:pPr>
        <w:pStyle w:val="PSC-Bullets1"/>
      </w:pPr>
      <w:r>
        <w:t>established</w:t>
      </w:r>
      <w:r w:rsidR="00896E59">
        <w:t xml:space="preserve"> an employee representative group to consult and engage employees </w:t>
      </w:r>
      <w:r w:rsidR="005D1A71">
        <w:t xml:space="preserve">on managing the risks of psychosocial </w:t>
      </w:r>
      <w:proofErr w:type="gramStart"/>
      <w:r w:rsidR="005D1A71">
        <w:t>hazards</w:t>
      </w:r>
      <w:proofErr w:type="gramEnd"/>
    </w:p>
    <w:p w14:paraId="09A30999" w14:textId="411A40B0" w:rsidR="008C48D5" w:rsidRDefault="00973E3C" w:rsidP="008C48D5">
      <w:pPr>
        <w:pStyle w:val="PSC-Bullets1"/>
      </w:pPr>
      <w:r>
        <w:t>participated in the Australian Red Cross</w:t>
      </w:r>
      <w:r w:rsidR="00714108">
        <w:t xml:space="preserve"> </w:t>
      </w:r>
      <w:r>
        <w:t>Lifeblood, Queensland Government Blood</w:t>
      </w:r>
      <w:r w:rsidR="00721679">
        <w:t xml:space="preserve"> </w:t>
      </w:r>
      <w:r>
        <w:t>Challenge, taking out the category of most</w:t>
      </w:r>
      <w:r w:rsidR="00721679">
        <w:t xml:space="preserve"> </w:t>
      </w:r>
      <w:r>
        <w:t>donations as a percentage of staff for the</w:t>
      </w:r>
      <w:r w:rsidR="00721679">
        <w:t xml:space="preserve"> </w:t>
      </w:r>
      <w:r w:rsidR="004033F9">
        <w:t>third</w:t>
      </w:r>
      <w:r>
        <w:t xml:space="preserve"> year in a row</w:t>
      </w:r>
      <w:r w:rsidR="00B56CF7">
        <w:t>.</w:t>
      </w:r>
    </w:p>
    <w:p w14:paraId="220CFACD" w14:textId="452A0AEA" w:rsidR="009C2449" w:rsidRPr="00F9180F" w:rsidRDefault="009C2449" w:rsidP="00CF7C62">
      <w:pPr>
        <w:pStyle w:val="PSCHeading1"/>
      </w:pPr>
      <w:bookmarkStart w:id="294" w:name="_Toc141781818"/>
      <w:bookmarkStart w:id="295" w:name="_Toc141781980"/>
      <w:bookmarkStart w:id="296" w:name="_Toc145926926"/>
      <w:r>
        <w:t xml:space="preserve">Inclusion and </w:t>
      </w:r>
      <w:r w:rsidR="001E62DF">
        <w:t>d</w:t>
      </w:r>
      <w:r w:rsidRPr="00F9180F">
        <w:t>iversity</w:t>
      </w:r>
      <w:bookmarkEnd w:id="294"/>
      <w:bookmarkEnd w:id="295"/>
      <w:bookmarkEnd w:id="296"/>
    </w:p>
    <w:p w14:paraId="3395B499" w14:textId="6C2EA41D" w:rsidR="00F75DF2" w:rsidRPr="00F9180F" w:rsidRDefault="0067260F" w:rsidP="00CF7C62">
      <w:pPr>
        <w:pStyle w:val="ListParagraph"/>
        <w:spacing w:after="0"/>
        <w:ind w:left="0"/>
      </w:pPr>
      <w:r w:rsidRPr="00F9180F">
        <w:t xml:space="preserve">With a </w:t>
      </w:r>
      <w:r w:rsidR="00F75DF2" w:rsidRPr="00F9180F">
        <w:t xml:space="preserve">strong commitment to </w:t>
      </w:r>
      <w:r w:rsidR="00124160" w:rsidRPr="00F9180F">
        <w:t xml:space="preserve">creating </w:t>
      </w:r>
      <w:r w:rsidR="00F75DF2" w:rsidRPr="00F9180F">
        <w:t>a</w:t>
      </w:r>
      <w:r w:rsidR="00BC510E" w:rsidRPr="00F9180F">
        <w:t>n inclusive and diverse</w:t>
      </w:r>
      <w:r w:rsidRPr="00F9180F">
        <w:t xml:space="preserve"> workforce, the</w:t>
      </w:r>
      <w:r w:rsidR="00BC510E" w:rsidRPr="00F9180F">
        <w:t xml:space="preserve"> Commission</w:t>
      </w:r>
      <w:r w:rsidRPr="00F9180F">
        <w:t>:</w:t>
      </w:r>
    </w:p>
    <w:p w14:paraId="2383C4CB" w14:textId="34A789BB" w:rsidR="0067260F" w:rsidRPr="00740644" w:rsidRDefault="00124160" w:rsidP="00B56CF7">
      <w:pPr>
        <w:pStyle w:val="PSC-Bullets1"/>
      </w:pPr>
      <w:r>
        <w:t>r</w:t>
      </w:r>
      <w:r w:rsidR="00833AB7">
        <w:t xml:space="preserve">aised awareness of key initiatives, including Wear </w:t>
      </w:r>
      <w:proofErr w:type="gramStart"/>
      <w:r w:rsidR="00833AB7">
        <w:t>it</w:t>
      </w:r>
      <w:proofErr w:type="gramEnd"/>
      <w:r w:rsidR="00833AB7">
        <w:t xml:space="preserve"> Purple Day,</w:t>
      </w:r>
      <w:r w:rsidR="108F4477">
        <w:t xml:space="preserve"> </w:t>
      </w:r>
      <w:proofErr w:type="spellStart"/>
      <w:r w:rsidR="108F4477">
        <w:t>Frocktober</w:t>
      </w:r>
      <w:proofErr w:type="spellEnd"/>
      <w:r w:rsidR="108F4477">
        <w:t>,</w:t>
      </w:r>
      <w:r w:rsidR="00833AB7">
        <w:t xml:space="preserve"> NAIDOC Week, Disability Action Week</w:t>
      </w:r>
      <w:r w:rsidR="00A64D53">
        <w:t xml:space="preserve"> and</w:t>
      </w:r>
      <w:r w:rsidR="00833AB7">
        <w:t xml:space="preserve"> International Women's Day</w:t>
      </w:r>
    </w:p>
    <w:p w14:paraId="1ECFA510" w14:textId="1A5B9C3C" w:rsidR="00233CC6" w:rsidRPr="00740644" w:rsidRDefault="0067260F" w:rsidP="00B56CF7">
      <w:pPr>
        <w:pStyle w:val="PSC-Bullets1"/>
      </w:pPr>
      <w:r>
        <w:t>promoted the Queensland Government’s Cultural</w:t>
      </w:r>
      <w:r w:rsidR="00163EA5">
        <w:t xml:space="preserve"> </w:t>
      </w:r>
      <w:r>
        <w:t>Capability Portal</w:t>
      </w:r>
      <w:r w:rsidR="004C3CB3">
        <w:t xml:space="preserve">, which provides employees with </w:t>
      </w:r>
      <w:r>
        <w:t xml:space="preserve">access to a range of resources that help build cultural capability skills and </w:t>
      </w:r>
      <w:proofErr w:type="gramStart"/>
      <w:r>
        <w:t>knowledge</w:t>
      </w:r>
      <w:proofErr w:type="gramEnd"/>
    </w:p>
    <w:p w14:paraId="0EED5007" w14:textId="2FBC9A73" w:rsidR="002951A1" w:rsidRPr="00740644" w:rsidRDefault="002951A1" w:rsidP="00B56CF7">
      <w:pPr>
        <w:pStyle w:val="PSC-Bullets1"/>
      </w:pPr>
      <w:r>
        <w:t xml:space="preserve">nurtured a culture that emphasises inclusion and diversity by offering employees cultural capability development </w:t>
      </w:r>
      <w:proofErr w:type="gramStart"/>
      <w:r>
        <w:t>opportunities</w:t>
      </w:r>
      <w:proofErr w:type="gramEnd"/>
    </w:p>
    <w:p w14:paraId="4877378E" w14:textId="370B56D8" w:rsidR="00124160" w:rsidRPr="00740644" w:rsidRDefault="00124160" w:rsidP="00B56CF7">
      <w:pPr>
        <w:pStyle w:val="PSC-Bullets1"/>
      </w:pPr>
      <w:r>
        <w:t>a</w:t>
      </w:r>
      <w:r w:rsidR="00233CC6">
        <w:t xml:space="preserve">ctioned and supported commitments in the </w:t>
      </w:r>
      <w:r w:rsidR="00233CC6" w:rsidRPr="41BF1D54">
        <w:rPr>
          <w:i/>
          <w:iCs/>
        </w:rPr>
        <w:t>Queensland multicultural action plan</w:t>
      </w:r>
      <w:r w:rsidR="00233CC6">
        <w:t xml:space="preserve"> and </w:t>
      </w:r>
      <w:r w:rsidR="00233CC6" w:rsidRPr="41BF1D54">
        <w:rPr>
          <w:i/>
          <w:iCs/>
        </w:rPr>
        <w:t>Cultural capability action plan</w:t>
      </w:r>
      <w:r w:rsidR="00233CC6">
        <w:t xml:space="preserve"> towards an inclusive, </w:t>
      </w:r>
      <w:proofErr w:type="gramStart"/>
      <w:r w:rsidR="00233CC6">
        <w:t>diverse</w:t>
      </w:r>
      <w:proofErr w:type="gramEnd"/>
      <w:r w:rsidR="00233CC6">
        <w:t xml:space="preserve"> and culturally capable workforc</w:t>
      </w:r>
      <w:r w:rsidR="006C175E">
        <w:t>e</w:t>
      </w:r>
      <w:r w:rsidR="009D64C5">
        <w:t>.</w:t>
      </w:r>
    </w:p>
    <w:p w14:paraId="3E0C4DB5" w14:textId="645A1C47" w:rsidR="00833AB7" w:rsidRDefault="00DA08D0" w:rsidP="00CF7C62">
      <w:pPr>
        <w:pStyle w:val="PSCHeading1"/>
      </w:pPr>
      <w:bookmarkStart w:id="297" w:name="_Toc74055919"/>
      <w:bookmarkStart w:id="298" w:name="_Toc76549873"/>
      <w:bookmarkStart w:id="299" w:name="_Toc79493383"/>
      <w:bookmarkStart w:id="300" w:name="_Toc141781819"/>
      <w:bookmarkStart w:id="301" w:name="_Toc141781981"/>
      <w:bookmarkStart w:id="302" w:name="_Toc145926927"/>
      <w:bookmarkStart w:id="303" w:name="_Hlk76548598"/>
      <w:r>
        <w:lastRenderedPageBreak/>
        <w:t>Capability</w:t>
      </w:r>
      <w:r w:rsidR="00833AB7">
        <w:t xml:space="preserve"> development</w:t>
      </w:r>
      <w:bookmarkEnd w:id="297"/>
      <w:bookmarkEnd w:id="298"/>
      <w:bookmarkEnd w:id="299"/>
      <w:bookmarkEnd w:id="300"/>
      <w:bookmarkEnd w:id="301"/>
      <w:bookmarkEnd w:id="302"/>
    </w:p>
    <w:p w14:paraId="52015780" w14:textId="6B960271" w:rsidR="00DA08D0" w:rsidRDefault="00DA08D0" w:rsidP="00CF7C62">
      <w:pPr>
        <w:spacing w:after="0"/>
      </w:pPr>
      <w:bookmarkStart w:id="304" w:name="_Hlk76548551"/>
      <w:r>
        <w:t xml:space="preserve">Our capability development framework </w:t>
      </w:r>
      <w:r w:rsidRPr="000A5C96">
        <w:t>encompasses</w:t>
      </w:r>
      <w:r>
        <w:t xml:space="preserve"> the Leadership </w:t>
      </w:r>
      <w:r w:rsidR="00DD4940">
        <w:t>c</w:t>
      </w:r>
      <w:r>
        <w:t>ompetencies for Queensland, which describes what highly effective, everyday leadership looks like in the sector. We provided employees with access to opportunities which align to the competencies to improve their individual capability.</w:t>
      </w:r>
      <w:r w:rsidR="360F9035">
        <w:t xml:space="preserve"> </w:t>
      </w:r>
      <w:r w:rsidR="00161C12">
        <w:t>Opportunities include</w:t>
      </w:r>
      <w:r w:rsidR="00BC510E">
        <w:t>d</w:t>
      </w:r>
      <w:r w:rsidR="00161C12">
        <w:t>:</w:t>
      </w:r>
    </w:p>
    <w:p w14:paraId="625E643B" w14:textId="5F843F81" w:rsidR="00F9180F" w:rsidRPr="00B177BE" w:rsidRDefault="00B87C15" w:rsidP="00740644">
      <w:pPr>
        <w:pStyle w:val="PSC-Bullets1"/>
        <w:rPr>
          <w:rStyle w:val="eop"/>
        </w:rPr>
      </w:pPr>
      <w:r>
        <w:rPr>
          <w:rStyle w:val="normaltextrun"/>
        </w:rPr>
        <w:t>m</w:t>
      </w:r>
      <w:r w:rsidR="00F9180F" w:rsidRPr="41BF1D54">
        <w:rPr>
          <w:rStyle w:val="normaltextrun"/>
        </w:rPr>
        <w:t>asterclasses and webinars delivered as part of the 2022</w:t>
      </w:r>
      <w:r w:rsidR="007C45BC">
        <w:rPr>
          <w:rStyle w:val="normaltextrun"/>
        </w:rPr>
        <w:t>–</w:t>
      </w:r>
      <w:r w:rsidR="00F9180F" w:rsidRPr="41BF1D54">
        <w:rPr>
          <w:rStyle w:val="normaltextrun"/>
        </w:rPr>
        <w:t xml:space="preserve">2023 Queensland public sector leadership development </w:t>
      </w:r>
      <w:proofErr w:type="gramStart"/>
      <w:r w:rsidR="00F9180F" w:rsidRPr="41BF1D54">
        <w:rPr>
          <w:rStyle w:val="normaltextrun"/>
        </w:rPr>
        <w:t>series</w:t>
      </w:r>
      <w:proofErr w:type="gramEnd"/>
      <w:r w:rsidR="00F9180F" w:rsidRPr="41BF1D54">
        <w:rPr>
          <w:rStyle w:val="eop"/>
        </w:rPr>
        <w:t> </w:t>
      </w:r>
    </w:p>
    <w:p w14:paraId="69DD9A6E" w14:textId="321A338F" w:rsidR="00B177BE" w:rsidRPr="00C774D5" w:rsidRDefault="00B87C15" w:rsidP="00740644">
      <w:pPr>
        <w:pStyle w:val="PSC-Bullets1"/>
        <w:rPr>
          <w:rStyle w:val="eop"/>
        </w:rPr>
      </w:pPr>
      <w:r>
        <w:rPr>
          <w:rStyle w:val="eop"/>
        </w:rPr>
        <w:t>a</w:t>
      </w:r>
      <w:r w:rsidR="00B177BE" w:rsidRPr="41BF1D54">
        <w:rPr>
          <w:rStyle w:val="eop"/>
        </w:rPr>
        <w:t>ttendance at the Australia and New Zealand School of Government (ANZSOG) First Nations Public Administration Conference</w:t>
      </w:r>
    </w:p>
    <w:p w14:paraId="136BBF49" w14:textId="48EBE6D9" w:rsidR="00C774D5" w:rsidRDefault="00221BED" w:rsidP="00740644">
      <w:pPr>
        <w:pStyle w:val="PSC-Bullets1"/>
      </w:pPr>
      <w:r>
        <w:t>a</w:t>
      </w:r>
      <w:r w:rsidR="00D516E3">
        <w:t xml:space="preserve">ttendance at cultural awareness and cultural capability sessions including Building on the Strengths of our Stories </w:t>
      </w:r>
      <w:proofErr w:type="gramStart"/>
      <w:r w:rsidR="00D516E3">
        <w:t>training</w:t>
      </w:r>
      <w:proofErr w:type="gramEnd"/>
    </w:p>
    <w:p w14:paraId="4FDADD27" w14:textId="39A41F47" w:rsidR="007314EB" w:rsidRDefault="00221BED" w:rsidP="00740644">
      <w:pPr>
        <w:pStyle w:val="PSC-Bullets1"/>
      </w:pPr>
      <w:r>
        <w:t>a</w:t>
      </w:r>
      <w:r w:rsidR="007314EB">
        <w:t xml:space="preserve">ttendance at the </w:t>
      </w:r>
      <w:proofErr w:type="spellStart"/>
      <w:r w:rsidR="007314EB">
        <w:t>BiiG</w:t>
      </w:r>
      <w:proofErr w:type="spellEnd"/>
      <w:r w:rsidR="007314EB">
        <w:t xml:space="preserve"> Network Innovation Conference</w:t>
      </w:r>
    </w:p>
    <w:p w14:paraId="22A2D881" w14:textId="6850C952" w:rsidR="00385C05" w:rsidRDefault="00221BED" w:rsidP="00740644">
      <w:pPr>
        <w:pStyle w:val="PSC-Bullets1"/>
      </w:pPr>
      <w:r>
        <w:t>a</w:t>
      </w:r>
      <w:r w:rsidR="00385C05">
        <w:t>ccess to online collaboration tools for increased engagement across teams and agencies</w:t>
      </w:r>
    </w:p>
    <w:p w14:paraId="7401F18C" w14:textId="36396163" w:rsidR="00385C05" w:rsidRDefault="00221BED" w:rsidP="00740644">
      <w:pPr>
        <w:pStyle w:val="PSC-Bullets1"/>
      </w:pPr>
      <w:r>
        <w:t>a</w:t>
      </w:r>
      <w:r w:rsidR="00385C05">
        <w:t xml:space="preserve">ttendance in IPAA Queensland offerings including </w:t>
      </w:r>
      <w:r w:rsidR="00F874C3">
        <w:t xml:space="preserve">the CEO </w:t>
      </w:r>
      <w:r w:rsidR="00701828">
        <w:t>and</w:t>
      </w:r>
      <w:r w:rsidR="00F874C3">
        <w:t xml:space="preserve"> </w:t>
      </w:r>
      <w:r w:rsidR="00701828">
        <w:t xml:space="preserve">Emerging Leaders Breakfast, and Stewards on the Couch </w:t>
      </w:r>
      <w:proofErr w:type="gramStart"/>
      <w:r w:rsidR="00701828">
        <w:t>event</w:t>
      </w:r>
      <w:proofErr w:type="gramEnd"/>
    </w:p>
    <w:p w14:paraId="3D8A90E4" w14:textId="5259E65C" w:rsidR="00AA24E8" w:rsidRPr="00740644" w:rsidRDefault="00221BED" w:rsidP="00740644">
      <w:pPr>
        <w:pStyle w:val="PSC-Bullets1"/>
      </w:pPr>
      <w:r>
        <w:t>p</w:t>
      </w:r>
      <w:r w:rsidR="00AA24E8">
        <w:t>articipation in accredited programs including the Executive Master of Public Administration and Public Sector Management Program</w:t>
      </w:r>
      <w:r w:rsidR="00701828">
        <w:t>.</w:t>
      </w:r>
    </w:p>
    <w:p w14:paraId="65A94D61" w14:textId="2FB9FF2A" w:rsidR="00042389" w:rsidRPr="00F9180F" w:rsidRDefault="00161C12" w:rsidP="00CF7C62">
      <w:pPr>
        <w:pStyle w:val="PSCHeading1"/>
      </w:pPr>
      <w:bookmarkStart w:id="305" w:name="_Toc74055920"/>
      <w:bookmarkStart w:id="306" w:name="_Toc76549874"/>
      <w:bookmarkStart w:id="307" w:name="_Toc79493384"/>
      <w:bookmarkStart w:id="308" w:name="_Toc141781820"/>
      <w:bookmarkStart w:id="309" w:name="_Toc141781982"/>
      <w:bookmarkStart w:id="310" w:name="_Toc145926928"/>
      <w:bookmarkStart w:id="311" w:name="_Hlk73972759"/>
      <w:bookmarkStart w:id="312" w:name="_Hlk74043386"/>
      <w:bookmarkStart w:id="313" w:name="_Hlk74203749"/>
      <w:bookmarkEnd w:id="303"/>
      <w:bookmarkEnd w:id="304"/>
      <w:r w:rsidRPr="00F9180F">
        <w:t>W</w:t>
      </w:r>
      <w:bookmarkStart w:id="314" w:name="_Hlk74037037"/>
      <w:r w:rsidRPr="00F9180F">
        <w:t>orkforce engagement</w:t>
      </w:r>
      <w:bookmarkEnd w:id="305"/>
      <w:bookmarkEnd w:id="306"/>
      <w:bookmarkEnd w:id="307"/>
      <w:bookmarkEnd w:id="308"/>
      <w:bookmarkEnd w:id="309"/>
      <w:bookmarkEnd w:id="310"/>
      <w:r w:rsidR="008A5843" w:rsidRPr="00F9180F">
        <w:t xml:space="preserve"> </w:t>
      </w:r>
    </w:p>
    <w:bookmarkEnd w:id="311"/>
    <w:bookmarkEnd w:id="312"/>
    <w:bookmarkEnd w:id="313"/>
    <w:bookmarkEnd w:id="314"/>
    <w:p w14:paraId="609473E9" w14:textId="210BB2CB" w:rsidR="00973F32" w:rsidRPr="00F9180F" w:rsidRDefault="00973F32" w:rsidP="00973F32">
      <w:r w:rsidRPr="00F9180F">
        <w:t>Our employees are the backbone of our agency, and each year we ask for their feedback through the Working for Queensland survey</w:t>
      </w:r>
      <w:r w:rsidR="005454C5" w:rsidRPr="00F9180F">
        <w:t xml:space="preserve"> (the survey)</w:t>
      </w:r>
      <w:r w:rsidRPr="00F9180F">
        <w:t xml:space="preserve"> to help us drive positive workplace improvements. </w:t>
      </w:r>
    </w:p>
    <w:p w14:paraId="4FDD8434" w14:textId="34E16C00" w:rsidR="00973F32" w:rsidRPr="00F9180F" w:rsidRDefault="152B4371" w:rsidP="00973F32">
      <w:pPr>
        <w:rPr>
          <w:rFonts w:ascii="Calibri" w:eastAsiaTheme="minorHAnsi" w:hAnsi="Calibri" w:cs="Calibri"/>
        </w:rPr>
      </w:pPr>
      <w:r w:rsidRPr="004525B8">
        <w:t>In 202</w:t>
      </w:r>
      <w:r w:rsidR="00E368C5" w:rsidRPr="004525B8">
        <w:t>2</w:t>
      </w:r>
      <w:r w:rsidRPr="004525B8">
        <w:t xml:space="preserve">, </w:t>
      </w:r>
      <w:r w:rsidR="002C7C2A" w:rsidRPr="004525B8">
        <w:t>95</w:t>
      </w:r>
      <w:r w:rsidR="00784F48" w:rsidRPr="004525B8">
        <w:t>%</w:t>
      </w:r>
      <w:r w:rsidR="000A5C96">
        <w:t xml:space="preserve"> of</w:t>
      </w:r>
      <w:r w:rsidR="00784F48" w:rsidRPr="004525B8">
        <w:t xml:space="preserve"> </w:t>
      </w:r>
      <w:r w:rsidRPr="004525B8">
        <w:t>our employees responded to the survey,</w:t>
      </w:r>
      <w:r w:rsidR="00E27C84" w:rsidRPr="00E27C84">
        <w:t xml:space="preserve"> with employee engagement increasing by three percentage points to 78%</w:t>
      </w:r>
      <w:r w:rsidR="009029F8">
        <w:t>.</w:t>
      </w:r>
      <w:r w:rsidR="00E27C84" w:rsidRPr="00E27C84">
        <w:t xml:space="preserve"> </w:t>
      </w:r>
      <w:r w:rsidR="0039683B" w:rsidRPr="004525B8">
        <w:t xml:space="preserve">Our employees </w:t>
      </w:r>
      <w:r w:rsidR="00146497" w:rsidRPr="004525B8">
        <w:t xml:space="preserve">also </w:t>
      </w:r>
      <w:r w:rsidR="00A2297B" w:rsidRPr="004525B8">
        <w:t xml:space="preserve">reported a high level of trust in the integrity of </w:t>
      </w:r>
      <w:r w:rsidR="00146497" w:rsidRPr="004525B8">
        <w:t>organisational managers and leaders</w:t>
      </w:r>
      <w:r w:rsidR="0039683B" w:rsidRPr="004525B8">
        <w:t xml:space="preserve"> and </w:t>
      </w:r>
      <w:r w:rsidR="00973F32" w:rsidRPr="004525B8">
        <w:t>a need for continued</w:t>
      </w:r>
      <w:r w:rsidR="002F7F28" w:rsidRPr="004525B8">
        <w:t xml:space="preserve"> focus on</w:t>
      </w:r>
      <w:r w:rsidR="00AF5E89" w:rsidRPr="004525B8">
        <w:t xml:space="preserve"> process improvements to</w:t>
      </w:r>
      <w:r w:rsidR="000F6886" w:rsidRPr="004525B8">
        <w:t xml:space="preserve"> recruitment and selection and professional development.</w:t>
      </w:r>
      <w:r w:rsidR="000F6886" w:rsidRPr="00F9180F">
        <w:t xml:space="preserve"> </w:t>
      </w:r>
    </w:p>
    <w:p w14:paraId="409D6275" w14:textId="2908BC5B" w:rsidR="004D265B" w:rsidRPr="00F9180F" w:rsidRDefault="00973F32" w:rsidP="00CF7C62">
      <w:pPr>
        <w:spacing w:after="0"/>
        <w:rPr>
          <w:strike/>
          <w:szCs w:val="20"/>
        </w:rPr>
      </w:pPr>
      <w:r w:rsidRPr="00F9180F">
        <w:rPr>
          <w:szCs w:val="20"/>
        </w:rPr>
        <w:t>In 202</w:t>
      </w:r>
      <w:r w:rsidR="00D57B3C" w:rsidRPr="00F9180F">
        <w:rPr>
          <w:szCs w:val="20"/>
        </w:rPr>
        <w:t>2</w:t>
      </w:r>
      <w:r w:rsidRPr="00F9180F">
        <w:rPr>
          <w:szCs w:val="20"/>
        </w:rPr>
        <w:t>–2</w:t>
      </w:r>
      <w:r w:rsidR="00D57B3C" w:rsidRPr="00F9180F">
        <w:rPr>
          <w:szCs w:val="20"/>
        </w:rPr>
        <w:t>3</w:t>
      </w:r>
      <w:r w:rsidR="00B4479E" w:rsidRPr="00F9180F">
        <w:rPr>
          <w:szCs w:val="20"/>
        </w:rPr>
        <w:t>,</w:t>
      </w:r>
      <w:r w:rsidR="00D57B3C" w:rsidRPr="00F9180F">
        <w:rPr>
          <w:szCs w:val="20"/>
        </w:rPr>
        <w:t xml:space="preserve"> </w:t>
      </w:r>
      <w:r w:rsidRPr="00F9180F">
        <w:rPr>
          <w:szCs w:val="20"/>
        </w:rPr>
        <w:t xml:space="preserve">the </w:t>
      </w:r>
      <w:r w:rsidR="003604E0" w:rsidRPr="00F9180F">
        <w:rPr>
          <w:szCs w:val="20"/>
        </w:rPr>
        <w:t>Commission</w:t>
      </w:r>
      <w:r w:rsidRPr="00F9180F">
        <w:rPr>
          <w:szCs w:val="20"/>
        </w:rPr>
        <w:t xml:space="preserve"> focused its efforts on: </w:t>
      </w:r>
    </w:p>
    <w:p w14:paraId="70D6F9F1" w14:textId="08BDB67D" w:rsidR="004D265B" w:rsidRPr="004525B8" w:rsidRDefault="004D265B" w:rsidP="00DC0B33">
      <w:pPr>
        <w:pStyle w:val="PSC-Bullets1"/>
      </w:pPr>
      <w:r>
        <w:t>empowering employees to grow their expertise and leadership capability through development opportunities</w:t>
      </w:r>
      <w:r w:rsidR="0028150D">
        <w:t>, promoted weekly in the</w:t>
      </w:r>
      <w:r w:rsidR="00B140ED">
        <w:t xml:space="preserve"> Commission’s</w:t>
      </w:r>
      <w:r w:rsidR="0028150D">
        <w:t xml:space="preserve"> internal </w:t>
      </w:r>
      <w:proofErr w:type="gramStart"/>
      <w:r w:rsidR="0028150D">
        <w:t>email</w:t>
      </w:r>
      <w:proofErr w:type="gramEnd"/>
    </w:p>
    <w:p w14:paraId="023F91C8" w14:textId="2D0E91B4" w:rsidR="004D265B" w:rsidRPr="004525B8" w:rsidRDefault="00AD40EB" w:rsidP="00B56CF7">
      <w:pPr>
        <w:pStyle w:val="PSC-Bullets1"/>
      </w:pPr>
      <w:r>
        <w:t xml:space="preserve">increasing </w:t>
      </w:r>
      <w:r w:rsidR="004D265B">
        <w:t>organisational fairness, particularly r</w:t>
      </w:r>
      <w:r w:rsidR="008F5D54">
        <w:t>e</w:t>
      </w:r>
      <w:r w:rsidR="004D265B">
        <w:t xml:space="preserve">lating to recruitment and selection </w:t>
      </w:r>
    </w:p>
    <w:p w14:paraId="5BC8699D" w14:textId="796831E7" w:rsidR="004D265B" w:rsidRPr="004525B8" w:rsidRDefault="004D265B" w:rsidP="00B56CF7">
      <w:pPr>
        <w:pStyle w:val="PSC-Bullets1"/>
      </w:pPr>
      <w:r>
        <w:t xml:space="preserve">helping individuals and teams to effectively manage workloads </w:t>
      </w:r>
      <w:r w:rsidR="00650E90">
        <w:t xml:space="preserve">and respond to emerging </w:t>
      </w:r>
      <w:proofErr w:type="gramStart"/>
      <w:r w:rsidR="00650E90">
        <w:t>priorities</w:t>
      </w:r>
      <w:proofErr w:type="gramEnd"/>
    </w:p>
    <w:p w14:paraId="304E1F1E" w14:textId="05D85ACD" w:rsidR="004D265B" w:rsidRPr="004525B8" w:rsidRDefault="00533722" w:rsidP="00B56CF7">
      <w:pPr>
        <w:pStyle w:val="PSC-Bullets1"/>
      </w:pPr>
      <w:r>
        <w:t>continuing to refine</w:t>
      </w:r>
      <w:r w:rsidR="004D265B">
        <w:t xml:space="preserve"> flexible work agreements for each </w:t>
      </w:r>
      <w:proofErr w:type="gramStart"/>
      <w:r w:rsidR="004D265B">
        <w:t>employee</w:t>
      </w:r>
      <w:proofErr w:type="gramEnd"/>
    </w:p>
    <w:p w14:paraId="05065A28" w14:textId="13D1A674" w:rsidR="00CF7C62" w:rsidRDefault="009F2557" w:rsidP="002B2C85">
      <w:pPr>
        <w:pStyle w:val="PSC-Bullets1"/>
      </w:pPr>
      <w:r>
        <w:t>implementing resources, tools and practices</w:t>
      </w:r>
      <w:r w:rsidR="00927DFF">
        <w:t xml:space="preserve"> developed by an </w:t>
      </w:r>
      <w:r w:rsidR="00C00A4D">
        <w:t>internal</w:t>
      </w:r>
      <w:r w:rsidR="00927DFF">
        <w:t xml:space="preserve"> working group </w:t>
      </w:r>
      <w:r w:rsidR="008E48D0">
        <w:t xml:space="preserve">that </w:t>
      </w:r>
      <w:r w:rsidR="00927DFF">
        <w:t>assist</w:t>
      </w:r>
      <w:r w:rsidR="008E48D0">
        <w:t>s</w:t>
      </w:r>
      <w:r w:rsidR="00927DFF">
        <w:t xml:space="preserve"> teams to realise their full potential and create a thriving workplace. </w:t>
      </w:r>
      <w:bookmarkStart w:id="315" w:name="_Toc79493385"/>
      <w:bookmarkStart w:id="316" w:name="_Toc1155315958"/>
      <w:bookmarkStart w:id="317" w:name="_Toc141342850"/>
      <w:bookmarkStart w:id="318" w:name="_Toc141781821"/>
      <w:bookmarkStart w:id="319" w:name="_Toc141781983"/>
    </w:p>
    <w:p w14:paraId="4E9FDEFB" w14:textId="55BF4691" w:rsidR="003A697C" w:rsidRDefault="003A697C">
      <w:pPr>
        <w:rPr>
          <w:szCs w:val="22"/>
        </w:rPr>
      </w:pPr>
      <w:r>
        <w:br w:type="page"/>
      </w:r>
    </w:p>
    <w:p w14:paraId="17BC9A18" w14:textId="775CD697" w:rsidR="00A64654" w:rsidRPr="00E81C34" w:rsidRDefault="00042389" w:rsidP="00E81C34">
      <w:pPr>
        <w:pStyle w:val="PSCHeading1"/>
      </w:pPr>
      <w:bookmarkStart w:id="320" w:name="_Toc145926929"/>
      <w:r>
        <w:lastRenderedPageBreak/>
        <w:t>Financial statements</w:t>
      </w:r>
      <w:bookmarkStart w:id="321" w:name="_Toc79493386"/>
      <w:bookmarkStart w:id="322" w:name="_Toc1855921267"/>
      <w:bookmarkEnd w:id="315"/>
      <w:bookmarkEnd w:id="316"/>
      <w:bookmarkEnd w:id="317"/>
      <w:bookmarkEnd w:id="318"/>
      <w:bookmarkEnd w:id="319"/>
      <w:bookmarkEnd w:id="320"/>
    </w:p>
    <w:tbl>
      <w:tblPr>
        <w:tblW w:w="0" w:type="auto"/>
        <w:tblLook w:val="04A0" w:firstRow="1" w:lastRow="0" w:firstColumn="1" w:lastColumn="0" w:noHBand="0" w:noVBand="1"/>
      </w:tblPr>
      <w:tblGrid>
        <w:gridCol w:w="8523"/>
        <w:gridCol w:w="1115"/>
      </w:tblGrid>
      <w:tr w:rsidR="0049143C" w:rsidRPr="00592257" w14:paraId="3CF58587" w14:textId="77777777" w:rsidTr="00E81C34">
        <w:tc>
          <w:tcPr>
            <w:tcW w:w="8523" w:type="dxa"/>
            <w:tcBorders>
              <w:bottom w:val="single" w:sz="4" w:space="0" w:color="auto"/>
            </w:tcBorders>
            <w:shd w:val="clear" w:color="auto" w:fill="auto"/>
          </w:tcPr>
          <w:p w14:paraId="41B7599E" w14:textId="77777777" w:rsidR="0049143C" w:rsidRPr="00A2634B" w:rsidRDefault="0049143C" w:rsidP="00A2634B">
            <w:pPr>
              <w:pStyle w:val="PSC-Body"/>
              <w:rPr>
                <w:b/>
                <w:u w:val="single"/>
                <w:lang w:eastAsia="en-AU"/>
              </w:rPr>
            </w:pPr>
            <w:bookmarkStart w:id="323" w:name="_Toc145672700"/>
            <w:r w:rsidRPr="00A2634B">
              <w:rPr>
                <w:b/>
                <w:lang w:eastAsia="en-AU"/>
              </w:rPr>
              <w:t>Table of Contents</w:t>
            </w:r>
            <w:bookmarkEnd w:id="323"/>
          </w:p>
        </w:tc>
        <w:tc>
          <w:tcPr>
            <w:tcW w:w="1115" w:type="dxa"/>
            <w:tcBorders>
              <w:bottom w:val="single" w:sz="4" w:space="0" w:color="auto"/>
            </w:tcBorders>
            <w:shd w:val="clear" w:color="auto" w:fill="auto"/>
          </w:tcPr>
          <w:p w14:paraId="31F5C78F" w14:textId="77777777" w:rsidR="0049143C" w:rsidRPr="00A2634B" w:rsidRDefault="0049143C" w:rsidP="00A2634B">
            <w:pPr>
              <w:pStyle w:val="PSC-Body"/>
              <w:rPr>
                <w:b/>
                <w:lang w:eastAsia="en-AU"/>
              </w:rPr>
            </w:pPr>
            <w:bookmarkStart w:id="324" w:name="_Toc145672701"/>
            <w:r w:rsidRPr="00A2634B">
              <w:rPr>
                <w:b/>
                <w:lang w:eastAsia="en-AU"/>
              </w:rPr>
              <w:t>Page No.</w:t>
            </w:r>
            <w:bookmarkEnd w:id="324"/>
          </w:p>
        </w:tc>
      </w:tr>
      <w:tr w:rsidR="0049143C" w:rsidRPr="00592257" w14:paraId="0E6175A9" w14:textId="77777777" w:rsidTr="00E81C34">
        <w:tc>
          <w:tcPr>
            <w:tcW w:w="8523" w:type="dxa"/>
            <w:tcBorders>
              <w:top w:val="single" w:sz="4" w:space="0" w:color="auto"/>
              <w:bottom w:val="single" w:sz="4" w:space="0" w:color="auto"/>
            </w:tcBorders>
            <w:shd w:val="clear" w:color="auto" w:fill="auto"/>
          </w:tcPr>
          <w:p w14:paraId="321057F2" w14:textId="77777777" w:rsidR="0049143C" w:rsidRPr="00592257" w:rsidRDefault="0049143C">
            <w:pPr>
              <w:spacing w:before="60" w:after="0" w:line="300" w:lineRule="auto"/>
              <w:outlineLvl w:val="0"/>
              <w:rPr>
                <w:rFonts w:eastAsia="SimSun" w:cs="Arial"/>
                <w:b/>
                <w:sz w:val="18"/>
                <w:szCs w:val="18"/>
                <w:u w:val="single"/>
                <w:lang w:eastAsia="en-AU"/>
              </w:rPr>
            </w:pPr>
            <w:bookmarkStart w:id="325" w:name="_Toc145672702"/>
            <w:bookmarkStart w:id="326" w:name="_Toc145673100"/>
            <w:bookmarkStart w:id="327" w:name="_Toc145926930"/>
            <w:r w:rsidRPr="00592257">
              <w:rPr>
                <w:rFonts w:eastAsia="SimSun" w:cs="Arial"/>
                <w:sz w:val="18"/>
                <w:szCs w:val="18"/>
                <w:lang w:eastAsia="en-AU"/>
              </w:rPr>
              <w:t>Statement of Comprehensive Income</w:t>
            </w:r>
            <w:bookmarkEnd w:id="325"/>
            <w:bookmarkEnd w:id="326"/>
            <w:bookmarkEnd w:id="327"/>
          </w:p>
        </w:tc>
        <w:tc>
          <w:tcPr>
            <w:tcW w:w="1115" w:type="dxa"/>
            <w:tcBorders>
              <w:top w:val="single" w:sz="4" w:space="0" w:color="auto"/>
              <w:bottom w:val="single" w:sz="4" w:space="0" w:color="auto"/>
            </w:tcBorders>
            <w:shd w:val="clear" w:color="auto" w:fill="auto"/>
          </w:tcPr>
          <w:p w14:paraId="380AB8D4" w14:textId="05987EB6" w:rsidR="0049143C" w:rsidRPr="00592257" w:rsidRDefault="0049143C">
            <w:pPr>
              <w:spacing w:before="60" w:after="0" w:line="300" w:lineRule="auto"/>
              <w:jc w:val="center"/>
              <w:outlineLvl w:val="0"/>
              <w:rPr>
                <w:rFonts w:eastAsia="SimSun" w:cs="Arial"/>
                <w:sz w:val="18"/>
                <w:szCs w:val="18"/>
                <w:lang w:eastAsia="en-AU"/>
              </w:rPr>
            </w:pPr>
            <w:bookmarkStart w:id="328" w:name="_Toc145672703"/>
            <w:bookmarkStart w:id="329" w:name="_Toc145673101"/>
            <w:bookmarkStart w:id="330" w:name="_Toc145926931"/>
            <w:r w:rsidRPr="00592257">
              <w:rPr>
                <w:rFonts w:eastAsia="SimSun" w:cs="Arial"/>
                <w:sz w:val="18"/>
                <w:szCs w:val="18"/>
                <w:lang w:eastAsia="en-AU"/>
              </w:rPr>
              <w:t>2</w:t>
            </w:r>
            <w:r w:rsidR="00BF2304">
              <w:rPr>
                <w:rFonts w:eastAsia="SimSun" w:cs="Arial"/>
                <w:sz w:val="18"/>
                <w:szCs w:val="18"/>
                <w:lang w:eastAsia="en-AU"/>
              </w:rPr>
              <w:t>4</w:t>
            </w:r>
            <w:bookmarkEnd w:id="328"/>
            <w:bookmarkEnd w:id="329"/>
            <w:bookmarkEnd w:id="330"/>
          </w:p>
        </w:tc>
      </w:tr>
      <w:tr w:rsidR="0049143C" w:rsidRPr="00592257" w14:paraId="48ABA2A2" w14:textId="77777777" w:rsidTr="00E81C34">
        <w:tc>
          <w:tcPr>
            <w:tcW w:w="8523" w:type="dxa"/>
            <w:tcBorders>
              <w:top w:val="single" w:sz="4" w:space="0" w:color="auto"/>
              <w:bottom w:val="single" w:sz="4" w:space="0" w:color="auto"/>
            </w:tcBorders>
            <w:shd w:val="clear" w:color="auto" w:fill="auto"/>
          </w:tcPr>
          <w:p w14:paraId="4BEB834D" w14:textId="77777777" w:rsidR="0049143C" w:rsidRPr="00592257" w:rsidRDefault="0049143C">
            <w:pPr>
              <w:spacing w:before="60" w:after="0" w:line="300" w:lineRule="auto"/>
              <w:outlineLvl w:val="0"/>
              <w:rPr>
                <w:rFonts w:eastAsia="SimSun" w:cs="Arial"/>
                <w:b/>
                <w:sz w:val="18"/>
                <w:szCs w:val="18"/>
                <w:u w:val="single"/>
                <w:lang w:eastAsia="en-AU"/>
              </w:rPr>
            </w:pPr>
            <w:bookmarkStart w:id="331" w:name="_Toc145672704"/>
            <w:bookmarkStart w:id="332" w:name="_Toc145673102"/>
            <w:bookmarkStart w:id="333" w:name="_Toc145926932"/>
            <w:r w:rsidRPr="00592257">
              <w:rPr>
                <w:rFonts w:eastAsia="SimSun" w:cs="Arial"/>
                <w:sz w:val="18"/>
                <w:szCs w:val="18"/>
                <w:lang w:eastAsia="en-AU"/>
              </w:rPr>
              <w:t>Statement of Financial Position</w:t>
            </w:r>
            <w:bookmarkEnd w:id="331"/>
            <w:bookmarkEnd w:id="332"/>
            <w:bookmarkEnd w:id="333"/>
          </w:p>
        </w:tc>
        <w:tc>
          <w:tcPr>
            <w:tcW w:w="1115" w:type="dxa"/>
            <w:tcBorders>
              <w:top w:val="single" w:sz="4" w:space="0" w:color="auto"/>
              <w:bottom w:val="single" w:sz="4" w:space="0" w:color="auto"/>
            </w:tcBorders>
            <w:shd w:val="clear" w:color="auto" w:fill="auto"/>
          </w:tcPr>
          <w:p w14:paraId="2518EF93" w14:textId="629C84AF" w:rsidR="0049143C" w:rsidRPr="00592257" w:rsidRDefault="0049143C">
            <w:pPr>
              <w:spacing w:before="60" w:after="0" w:line="300" w:lineRule="auto"/>
              <w:jc w:val="center"/>
              <w:outlineLvl w:val="0"/>
              <w:rPr>
                <w:rFonts w:eastAsia="SimSun" w:cs="Arial"/>
                <w:sz w:val="18"/>
                <w:szCs w:val="18"/>
                <w:lang w:eastAsia="en-AU"/>
              </w:rPr>
            </w:pPr>
            <w:bookmarkStart w:id="334" w:name="_Toc145672705"/>
            <w:bookmarkStart w:id="335" w:name="_Toc145673103"/>
            <w:bookmarkStart w:id="336" w:name="_Toc145926933"/>
            <w:r>
              <w:rPr>
                <w:rFonts w:eastAsia="SimSun" w:cs="Arial"/>
                <w:sz w:val="18"/>
                <w:szCs w:val="18"/>
                <w:lang w:eastAsia="en-AU"/>
              </w:rPr>
              <w:t>2</w:t>
            </w:r>
            <w:r w:rsidR="00BF2304">
              <w:rPr>
                <w:rFonts w:eastAsia="SimSun" w:cs="Arial"/>
                <w:sz w:val="18"/>
                <w:szCs w:val="18"/>
                <w:lang w:eastAsia="en-AU"/>
              </w:rPr>
              <w:t>5</w:t>
            </w:r>
            <w:bookmarkEnd w:id="334"/>
            <w:bookmarkEnd w:id="335"/>
            <w:bookmarkEnd w:id="336"/>
          </w:p>
        </w:tc>
      </w:tr>
      <w:tr w:rsidR="0049143C" w:rsidRPr="00592257" w14:paraId="5664914F" w14:textId="77777777" w:rsidTr="00E81C34">
        <w:tc>
          <w:tcPr>
            <w:tcW w:w="8523" w:type="dxa"/>
            <w:tcBorders>
              <w:top w:val="single" w:sz="4" w:space="0" w:color="auto"/>
              <w:bottom w:val="single" w:sz="4" w:space="0" w:color="auto"/>
            </w:tcBorders>
            <w:shd w:val="clear" w:color="auto" w:fill="auto"/>
          </w:tcPr>
          <w:p w14:paraId="7B8AFE95" w14:textId="77777777" w:rsidR="0049143C" w:rsidRPr="00592257" w:rsidRDefault="0049143C">
            <w:pPr>
              <w:spacing w:before="60" w:after="0" w:line="300" w:lineRule="auto"/>
              <w:outlineLvl w:val="0"/>
              <w:rPr>
                <w:rFonts w:eastAsia="SimSun" w:cs="Arial"/>
                <w:b/>
                <w:sz w:val="18"/>
                <w:szCs w:val="18"/>
                <w:u w:val="single"/>
                <w:lang w:eastAsia="en-AU"/>
              </w:rPr>
            </w:pPr>
            <w:bookmarkStart w:id="337" w:name="_Toc145672706"/>
            <w:bookmarkStart w:id="338" w:name="_Toc145673104"/>
            <w:bookmarkStart w:id="339" w:name="_Toc145926934"/>
            <w:r w:rsidRPr="00592257">
              <w:rPr>
                <w:rFonts w:eastAsia="SimSun" w:cs="Arial"/>
                <w:sz w:val="18"/>
                <w:szCs w:val="18"/>
                <w:lang w:eastAsia="en-AU"/>
              </w:rPr>
              <w:t>Statement of Change in Equity</w:t>
            </w:r>
            <w:bookmarkEnd w:id="337"/>
            <w:bookmarkEnd w:id="338"/>
            <w:bookmarkEnd w:id="339"/>
          </w:p>
        </w:tc>
        <w:tc>
          <w:tcPr>
            <w:tcW w:w="1115" w:type="dxa"/>
            <w:tcBorders>
              <w:top w:val="single" w:sz="4" w:space="0" w:color="auto"/>
              <w:bottom w:val="single" w:sz="4" w:space="0" w:color="auto"/>
            </w:tcBorders>
            <w:shd w:val="clear" w:color="auto" w:fill="auto"/>
          </w:tcPr>
          <w:p w14:paraId="1E55A340" w14:textId="3D276BC8" w:rsidR="0049143C" w:rsidRPr="00592257" w:rsidRDefault="0049143C">
            <w:pPr>
              <w:spacing w:before="60" w:after="0" w:line="300" w:lineRule="auto"/>
              <w:jc w:val="center"/>
              <w:outlineLvl w:val="0"/>
              <w:rPr>
                <w:rFonts w:eastAsia="SimSun" w:cs="Arial"/>
                <w:sz w:val="18"/>
                <w:szCs w:val="18"/>
                <w:lang w:eastAsia="en-AU"/>
              </w:rPr>
            </w:pPr>
            <w:bookmarkStart w:id="340" w:name="_Toc145672707"/>
            <w:bookmarkStart w:id="341" w:name="_Toc145673105"/>
            <w:bookmarkStart w:id="342" w:name="_Toc145926935"/>
            <w:r>
              <w:rPr>
                <w:rFonts w:eastAsia="SimSun" w:cs="Arial"/>
                <w:sz w:val="18"/>
                <w:szCs w:val="18"/>
                <w:lang w:eastAsia="en-AU"/>
              </w:rPr>
              <w:t>2</w:t>
            </w:r>
            <w:r w:rsidR="00BF2304">
              <w:rPr>
                <w:rFonts w:eastAsia="SimSun" w:cs="Arial"/>
                <w:sz w:val="18"/>
                <w:szCs w:val="18"/>
                <w:lang w:eastAsia="en-AU"/>
              </w:rPr>
              <w:t>6</w:t>
            </w:r>
            <w:bookmarkEnd w:id="340"/>
            <w:bookmarkEnd w:id="341"/>
            <w:bookmarkEnd w:id="342"/>
          </w:p>
        </w:tc>
      </w:tr>
      <w:tr w:rsidR="0049143C" w:rsidRPr="00592257" w14:paraId="5DCC3E7B" w14:textId="77777777" w:rsidTr="00E81C34">
        <w:tc>
          <w:tcPr>
            <w:tcW w:w="8523" w:type="dxa"/>
            <w:tcBorders>
              <w:top w:val="single" w:sz="4" w:space="0" w:color="auto"/>
              <w:bottom w:val="single" w:sz="4" w:space="0" w:color="auto"/>
            </w:tcBorders>
            <w:shd w:val="clear" w:color="auto" w:fill="auto"/>
          </w:tcPr>
          <w:p w14:paraId="6B277357" w14:textId="77777777" w:rsidR="0049143C" w:rsidRPr="00592257" w:rsidRDefault="0049143C">
            <w:pPr>
              <w:spacing w:before="60" w:after="0" w:line="300" w:lineRule="auto"/>
              <w:outlineLvl w:val="0"/>
              <w:rPr>
                <w:rFonts w:eastAsia="SimSun" w:cs="Arial"/>
                <w:b/>
                <w:sz w:val="18"/>
                <w:szCs w:val="18"/>
                <w:u w:val="single"/>
                <w:lang w:eastAsia="en-AU"/>
              </w:rPr>
            </w:pPr>
            <w:bookmarkStart w:id="343" w:name="_Toc145672708"/>
            <w:bookmarkStart w:id="344" w:name="_Toc145926936"/>
            <w:r w:rsidRPr="00592257">
              <w:rPr>
                <w:rFonts w:eastAsia="SimSun" w:cs="Arial"/>
                <w:sz w:val="18"/>
                <w:szCs w:val="18"/>
                <w:lang w:eastAsia="en-AU"/>
              </w:rPr>
              <w:t>Statement of Cash Flows</w:t>
            </w:r>
            <w:bookmarkEnd w:id="343"/>
            <w:bookmarkEnd w:id="344"/>
          </w:p>
        </w:tc>
        <w:tc>
          <w:tcPr>
            <w:tcW w:w="1115" w:type="dxa"/>
            <w:tcBorders>
              <w:top w:val="single" w:sz="4" w:space="0" w:color="auto"/>
              <w:bottom w:val="single" w:sz="4" w:space="0" w:color="auto"/>
            </w:tcBorders>
            <w:shd w:val="clear" w:color="auto" w:fill="auto"/>
          </w:tcPr>
          <w:p w14:paraId="6380C32B" w14:textId="47142F16" w:rsidR="0049143C" w:rsidRPr="00592257" w:rsidRDefault="0049143C">
            <w:pPr>
              <w:spacing w:before="60" w:after="0" w:line="300" w:lineRule="auto"/>
              <w:jc w:val="center"/>
              <w:outlineLvl w:val="0"/>
              <w:rPr>
                <w:rFonts w:eastAsia="SimSun" w:cs="Arial"/>
                <w:sz w:val="18"/>
                <w:szCs w:val="18"/>
                <w:lang w:eastAsia="en-AU"/>
              </w:rPr>
            </w:pPr>
            <w:bookmarkStart w:id="345" w:name="_Toc145672709"/>
            <w:bookmarkStart w:id="346" w:name="_Toc145673107"/>
            <w:bookmarkStart w:id="347" w:name="_Toc145926937"/>
            <w:r>
              <w:rPr>
                <w:rFonts w:eastAsia="SimSun" w:cs="Arial"/>
                <w:sz w:val="18"/>
                <w:szCs w:val="18"/>
                <w:lang w:eastAsia="en-AU"/>
              </w:rPr>
              <w:t>2</w:t>
            </w:r>
            <w:r w:rsidR="00BF2304">
              <w:rPr>
                <w:rFonts w:eastAsia="SimSun" w:cs="Arial"/>
                <w:sz w:val="18"/>
                <w:szCs w:val="18"/>
                <w:lang w:eastAsia="en-AU"/>
              </w:rPr>
              <w:t>7</w:t>
            </w:r>
            <w:bookmarkEnd w:id="345"/>
            <w:bookmarkEnd w:id="346"/>
            <w:bookmarkEnd w:id="347"/>
          </w:p>
        </w:tc>
      </w:tr>
      <w:tr w:rsidR="0049143C" w:rsidRPr="00592257" w14:paraId="66D543D0" w14:textId="77777777" w:rsidTr="00E81C34">
        <w:tc>
          <w:tcPr>
            <w:tcW w:w="8523" w:type="dxa"/>
            <w:tcBorders>
              <w:top w:val="single" w:sz="4" w:space="0" w:color="auto"/>
            </w:tcBorders>
            <w:shd w:val="clear" w:color="auto" w:fill="auto"/>
          </w:tcPr>
          <w:p w14:paraId="7F85EA2B" w14:textId="77777777" w:rsidR="0049143C" w:rsidRPr="00592257" w:rsidRDefault="0049143C">
            <w:pPr>
              <w:spacing w:before="60" w:after="0" w:line="300" w:lineRule="auto"/>
              <w:outlineLvl w:val="0"/>
              <w:rPr>
                <w:rFonts w:eastAsia="SimSun" w:cs="Arial"/>
                <w:b/>
                <w:sz w:val="18"/>
                <w:szCs w:val="18"/>
                <w:u w:val="single"/>
                <w:lang w:eastAsia="en-AU"/>
              </w:rPr>
            </w:pPr>
            <w:bookmarkStart w:id="348" w:name="_Toc145672710"/>
            <w:bookmarkStart w:id="349" w:name="_Toc145673108"/>
            <w:bookmarkStart w:id="350" w:name="_Toc145926938"/>
            <w:r w:rsidRPr="00592257">
              <w:rPr>
                <w:rFonts w:eastAsia="SimSun" w:cs="Arial"/>
                <w:sz w:val="18"/>
                <w:szCs w:val="18"/>
                <w:lang w:eastAsia="en-AU"/>
              </w:rPr>
              <w:t>Notes to the Financial Statements</w:t>
            </w:r>
            <w:bookmarkEnd w:id="348"/>
            <w:bookmarkEnd w:id="349"/>
            <w:bookmarkEnd w:id="350"/>
          </w:p>
        </w:tc>
        <w:tc>
          <w:tcPr>
            <w:tcW w:w="1115" w:type="dxa"/>
            <w:tcBorders>
              <w:top w:val="single" w:sz="4" w:space="0" w:color="auto"/>
            </w:tcBorders>
            <w:shd w:val="clear" w:color="auto" w:fill="auto"/>
          </w:tcPr>
          <w:p w14:paraId="4F756CA1" w14:textId="77777777" w:rsidR="0049143C" w:rsidRPr="00592257" w:rsidRDefault="0049143C">
            <w:pPr>
              <w:spacing w:before="60" w:after="0" w:line="300" w:lineRule="auto"/>
              <w:jc w:val="center"/>
              <w:outlineLvl w:val="0"/>
              <w:rPr>
                <w:rFonts w:eastAsia="SimSun" w:cs="Arial"/>
                <w:sz w:val="18"/>
                <w:szCs w:val="18"/>
                <w:lang w:eastAsia="en-AU"/>
              </w:rPr>
            </w:pPr>
          </w:p>
        </w:tc>
      </w:tr>
      <w:tr w:rsidR="0049143C" w:rsidRPr="00592257" w14:paraId="73AD4FBC" w14:textId="77777777" w:rsidTr="00E81C34">
        <w:tc>
          <w:tcPr>
            <w:tcW w:w="8523" w:type="dxa"/>
            <w:tcBorders>
              <w:bottom w:val="single" w:sz="4" w:space="0" w:color="auto"/>
            </w:tcBorders>
            <w:shd w:val="clear" w:color="auto" w:fill="auto"/>
          </w:tcPr>
          <w:p w14:paraId="1E976EE9" w14:textId="77777777" w:rsidR="0049143C" w:rsidRPr="00592257" w:rsidRDefault="0049143C">
            <w:pPr>
              <w:spacing w:before="60" w:after="0" w:line="300" w:lineRule="auto"/>
              <w:ind w:left="340"/>
              <w:outlineLvl w:val="0"/>
              <w:rPr>
                <w:rFonts w:eastAsia="SimSun" w:cs="Arial"/>
                <w:bCs/>
                <w:sz w:val="18"/>
                <w:szCs w:val="18"/>
                <w:lang w:eastAsia="en-AU"/>
              </w:rPr>
            </w:pPr>
            <w:bookmarkStart w:id="351" w:name="_Toc145672711"/>
            <w:bookmarkStart w:id="352" w:name="_Toc145673109"/>
            <w:bookmarkStart w:id="353" w:name="_Toc145926939"/>
            <w:r w:rsidRPr="00592257">
              <w:rPr>
                <w:rFonts w:eastAsia="SimSun" w:cs="Arial"/>
                <w:bCs/>
                <w:sz w:val="18"/>
                <w:szCs w:val="18"/>
                <w:lang w:eastAsia="en-AU"/>
              </w:rPr>
              <w:t>CF1 Reconciliation of Operating Result to Net Cash Provided by Operating Activities</w:t>
            </w:r>
            <w:bookmarkEnd w:id="351"/>
            <w:bookmarkEnd w:id="352"/>
            <w:bookmarkEnd w:id="353"/>
          </w:p>
        </w:tc>
        <w:tc>
          <w:tcPr>
            <w:tcW w:w="1115" w:type="dxa"/>
            <w:tcBorders>
              <w:bottom w:val="single" w:sz="4" w:space="0" w:color="auto"/>
            </w:tcBorders>
            <w:shd w:val="clear" w:color="auto" w:fill="auto"/>
          </w:tcPr>
          <w:p w14:paraId="3286AD26" w14:textId="0B5D7FEA" w:rsidR="0049143C" w:rsidRPr="00592257" w:rsidRDefault="0049143C">
            <w:pPr>
              <w:spacing w:before="60" w:after="0" w:line="300" w:lineRule="auto"/>
              <w:jc w:val="center"/>
              <w:outlineLvl w:val="0"/>
              <w:rPr>
                <w:rFonts w:eastAsia="SimSun" w:cs="Arial"/>
                <w:sz w:val="18"/>
                <w:szCs w:val="18"/>
                <w:lang w:eastAsia="en-AU"/>
              </w:rPr>
            </w:pPr>
            <w:bookmarkStart w:id="354" w:name="_Toc145672712"/>
            <w:bookmarkStart w:id="355" w:name="_Toc145673110"/>
            <w:bookmarkStart w:id="356" w:name="_Toc145926940"/>
            <w:r>
              <w:rPr>
                <w:rFonts w:eastAsia="SimSun" w:cs="Arial"/>
                <w:sz w:val="18"/>
                <w:szCs w:val="18"/>
                <w:lang w:eastAsia="en-AU"/>
              </w:rPr>
              <w:t>2</w:t>
            </w:r>
            <w:r w:rsidR="00844194">
              <w:rPr>
                <w:rFonts w:eastAsia="SimSun" w:cs="Arial"/>
                <w:sz w:val="18"/>
                <w:szCs w:val="18"/>
                <w:lang w:eastAsia="en-AU"/>
              </w:rPr>
              <w:t>8</w:t>
            </w:r>
            <w:bookmarkEnd w:id="354"/>
            <w:bookmarkEnd w:id="355"/>
            <w:bookmarkEnd w:id="356"/>
          </w:p>
        </w:tc>
      </w:tr>
      <w:tr w:rsidR="0049143C" w:rsidRPr="00592257" w14:paraId="27079220" w14:textId="77777777" w:rsidTr="00E81C34">
        <w:tc>
          <w:tcPr>
            <w:tcW w:w="8523" w:type="dxa"/>
            <w:tcBorders>
              <w:top w:val="single" w:sz="4" w:space="0" w:color="auto"/>
            </w:tcBorders>
            <w:shd w:val="clear" w:color="auto" w:fill="auto"/>
          </w:tcPr>
          <w:p w14:paraId="5AD8E3B2" w14:textId="77777777" w:rsidR="0049143C" w:rsidRPr="00592257" w:rsidRDefault="0049143C">
            <w:pPr>
              <w:spacing w:before="60" w:after="0" w:line="300" w:lineRule="auto"/>
              <w:ind w:left="340"/>
              <w:outlineLvl w:val="0"/>
              <w:rPr>
                <w:rFonts w:eastAsia="SimSun" w:cs="Arial"/>
                <w:bCs/>
                <w:i/>
                <w:sz w:val="18"/>
                <w:szCs w:val="18"/>
                <w:lang w:eastAsia="en-AU"/>
              </w:rPr>
            </w:pPr>
            <w:bookmarkStart w:id="357" w:name="_Toc145672713"/>
            <w:bookmarkStart w:id="358" w:name="_Toc145673111"/>
            <w:bookmarkStart w:id="359" w:name="_Toc145926941"/>
            <w:r w:rsidRPr="00592257">
              <w:rPr>
                <w:rFonts w:eastAsia="SimSun" w:cs="Arial"/>
                <w:bCs/>
                <w:i/>
                <w:sz w:val="18"/>
                <w:szCs w:val="18"/>
                <w:lang w:eastAsia="en-AU"/>
              </w:rPr>
              <w:t>Section A: Basis of Financial Statement Preparation</w:t>
            </w:r>
            <w:bookmarkEnd w:id="357"/>
            <w:bookmarkEnd w:id="358"/>
            <w:bookmarkEnd w:id="359"/>
            <w:r w:rsidRPr="00592257">
              <w:rPr>
                <w:rFonts w:eastAsia="SimSun" w:cs="Arial"/>
                <w:bCs/>
                <w:i/>
                <w:sz w:val="18"/>
                <w:szCs w:val="18"/>
                <w:lang w:eastAsia="en-AU"/>
              </w:rPr>
              <w:t xml:space="preserve"> </w:t>
            </w:r>
          </w:p>
        </w:tc>
        <w:tc>
          <w:tcPr>
            <w:tcW w:w="1115" w:type="dxa"/>
            <w:tcBorders>
              <w:top w:val="single" w:sz="4" w:space="0" w:color="auto"/>
            </w:tcBorders>
            <w:shd w:val="clear" w:color="auto" w:fill="auto"/>
          </w:tcPr>
          <w:p w14:paraId="4DA3FC01" w14:textId="77777777" w:rsidR="0049143C" w:rsidRPr="00592257" w:rsidRDefault="0049143C">
            <w:pPr>
              <w:spacing w:before="60" w:after="0" w:line="300" w:lineRule="auto"/>
              <w:jc w:val="center"/>
              <w:outlineLvl w:val="0"/>
              <w:rPr>
                <w:rFonts w:eastAsia="SimSun" w:cs="Arial"/>
                <w:sz w:val="18"/>
                <w:szCs w:val="18"/>
                <w:lang w:eastAsia="en-AU"/>
              </w:rPr>
            </w:pPr>
          </w:p>
        </w:tc>
      </w:tr>
      <w:tr w:rsidR="0049143C" w:rsidRPr="00592257" w14:paraId="024458A3" w14:textId="77777777" w:rsidTr="00E81C34">
        <w:tc>
          <w:tcPr>
            <w:tcW w:w="8523" w:type="dxa"/>
            <w:shd w:val="clear" w:color="auto" w:fill="auto"/>
          </w:tcPr>
          <w:p w14:paraId="687D8E58" w14:textId="77777777" w:rsidR="0049143C" w:rsidRPr="00592257" w:rsidRDefault="0049143C">
            <w:pPr>
              <w:spacing w:before="60" w:after="0" w:line="300" w:lineRule="auto"/>
              <w:ind w:left="340"/>
              <w:outlineLvl w:val="0"/>
              <w:rPr>
                <w:rFonts w:eastAsia="SimSun" w:cs="Arial"/>
                <w:sz w:val="18"/>
                <w:szCs w:val="18"/>
                <w:lang w:eastAsia="en-AU"/>
              </w:rPr>
            </w:pPr>
            <w:bookmarkStart w:id="360" w:name="_Toc145672714"/>
            <w:bookmarkStart w:id="361" w:name="_Toc145673112"/>
            <w:bookmarkStart w:id="362" w:name="_Toc145926942"/>
            <w:r w:rsidRPr="00592257">
              <w:rPr>
                <w:rFonts w:eastAsia="SimSun" w:cs="Arial"/>
                <w:sz w:val="18"/>
                <w:szCs w:val="18"/>
                <w:lang w:eastAsia="en-AU"/>
              </w:rPr>
              <w:t>A1 Compliance with the Prescribed Requirements</w:t>
            </w:r>
            <w:bookmarkEnd w:id="360"/>
            <w:bookmarkEnd w:id="361"/>
            <w:bookmarkEnd w:id="362"/>
          </w:p>
        </w:tc>
        <w:tc>
          <w:tcPr>
            <w:tcW w:w="1115" w:type="dxa"/>
            <w:shd w:val="clear" w:color="auto" w:fill="auto"/>
          </w:tcPr>
          <w:p w14:paraId="33CAB311" w14:textId="278CBB59" w:rsidR="0049143C" w:rsidRPr="00592257" w:rsidRDefault="0049143C">
            <w:pPr>
              <w:spacing w:before="60" w:after="0" w:line="300" w:lineRule="auto"/>
              <w:jc w:val="center"/>
              <w:outlineLvl w:val="0"/>
              <w:rPr>
                <w:rFonts w:eastAsia="SimSun" w:cs="Arial"/>
                <w:sz w:val="18"/>
                <w:szCs w:val="18"/>
                <w:lang w:eastAsia="en-AU"/>
              </w:rPr>
            </w:pPr>
            <w:bookmarkStart w:id="363" w:name="_Toc145672715"/>
            <w:bookmarkStart w:id="364" w:name="_Toc145673113"/>
            <w:bookmarkStart w:id="365" w:name="_Toc145926943"/>
            <w:r>
              <w:rPr>
                <w:rFonts w:eastAsia="SimSun" w:cs="Arial"/>
                <w:sz w:val="18"/>
                <w:szCs w:val="18"/>
                <w:lang w:eastAsia="en-AU"/>
              </w:rPr>
              <w:t>2</w:t>
            </w:r>
            <w:r w:rsidR="005E7113">
              <w:rPr>
                <w:rFonts w:eastAsia="SimSun" w:cs="Arial"/>
                <w:sz w:val="18"/>
                <w:szCs w:val="18"/>
                <w:lang w:eastAsia="en-AU"/>
              </w:rPr>
              <w:t>8</w:t>
            </w:r>
            <w:bookmarkEnd w:id="363"/>
            <w:bookmarkEnd w:id="364"/>
            <w:bookmarkEnd w:id="365"/>
          </w:p>
        </w:tc>
      </w:tr>
      <w:tr w:rsidR="0049143C" w:rsidRPr="00592257" w14:paraId="5FE55C87" w14:textId="77777777" w:rsidTr="00E81C34">
        <w:tc>
          <w:tcPr>
            <w:tcW w:w="8523" w:type="dxa"/>
            <w:tcBorders>
              <w:bottom w:val="single" w:sz="4" w:space="0" w:color="auto"/>
            </w:tcBorders>
            <w:shd w:val="clear" w:color="auto" w:fill="auto"/>
          </w:tcPr>
          <w:p w14:paraId="1309274E" w14:textId="77777777" w:rsidR="0049143C" w:rsidRPr="00592257" w:rsidRDefault="0049143C">
            <w:pPr>
              <w:spacing w:before="60" w:after="0" w:line="300" w:lineRule="auto"/>
              <w:ind w:left="340"/>
              <w:outlineLvl w:val="0"/>
              <w:rPr>
                <w:rFonts w:eastAsia="SimSun" w:cs="Arial"/>
                <w:sz w:val="18"/>
                <w:szCs w:val="18"/>
                <w:lang w:eastAsia="en-AU"/>
              </w:rPr>
            </w:pPr>
            <w:bookmarkStart w:id="366" w:name="_Toc145672716"/>
            <w:bookmarkStart w:id="367" w:name="_Toc145673114"/>
            <w:bookmarkStart w:id="368" w:name="_Toc145926944"/>
            <w:r w:rsidRPr="00592257">
              <w:rPr>
                <w:rFonts w:eastAsia="SimSun" w:cs="Arial"/>
                <w:sz w:val="18"/>
                <w:szCs w:val="18"/>
                <w:lang w:eastAsia="en-AU"/>
              </w:rPr>
              <w:t>A2 Objectives and Principal Activities of the Commission</w:t>
            </w:r>
            <w:bookmarkEnd w:id="366"/>
            <w:bookmarkEnd w:id="367"/>
            <w:bookmarkEnd w:id="368"/>
          </w:p>
        </w:tc>
        <w:tc>
          <w:tcPr>
            <w:tcW w:w="1115" w:type="dxa"/>
            <w:tcBorders>
              <w:bottom w:val="single" w:sz="4" w:space="0" w:color="auto"/>
            </w:tcBorders>
            <w:shd w:val="clear" w:color="auto" w:fill="auto"/>
          </w:tcPr>
          <w:p w14:paraId="613596C1" w14:textId="77777777" w:rsidR="0049143C" w:rsidRPr="00592257" w:rsidRDefault="0049143C">
            <w:pPr>
              <w:spacing w:before="60" w:after="0" w:line="300" w:lineRule="auto"/>
              <w:jc w:val="center"/>
              <w:outlineLvl w:val="0"/>
              <w:rPr>
                <w:rFonts w:eastAsia="SimSun" w:cs="Arial"/>
                <w:sz w:val="18"/>
                <w:szCs w:val="18"/>
                <w:lang w:eastAsia="en-AU"/>
              </w:rPr>
            </w:pPr>
            <w:bookmarkStart w:id="369" w:name="_Toc145672717"/>
            <w:bookmarkStart w:id="370" w:name="_Toc145673115"/>
            <w:bookmarkStart w:id="371" w:name="_Toc145926945"/>
            <w:r>
              <w:rPr>
                <w:rFonts w:eastAsia="SimSun" w:cs="Arial"/>
                <w:sz w:val="18"/>
                <w:szCs w:val="18"/>
                <w:lang w:eastAsia="en-AU"/>
              </w:rPr>
              <w:t>29</w:t>
            </w:r>
            <w:bookmarkEnd w:id="369"/>
            <w:bookmarkEnd w:id="370"/>
            <w:bookmarkEnd w:id="371"/>
          </w:p>
        </w:tc>
      </w:tr>
      <w:tr w:rsidR="0049143C" w:rsidRPr="00592257" w14:paraId="7EA0F1F2" w14:textId="77777777" w:rsidTr="00E81C34">
        <w:tc>
          <w:tcPr>
            <w:tcW w:w="8523" w:type="dxa"/>
            <w:tcBorders>
              <w:top w:val="single" w:sz="4" w:space="0" w:color="auto"/>
            </w:tcBorders>
            <w:shd w:val="clear" w:color="auto" w:fill="auto"/>
          </w:tcPr>
          <w:p w14:paraId="7D1B8EE4" w14:textId="77777777" w:rsidR="0049143C" w:rsidRPr="00592257" w:rsidRDefault="0049143C">
            <w:pPr>
              <w:spacing w:before="60" w:after="0" w:line="300" w:lineRule="auto"/>
              <w:ind w:left="340"/>
              <w:outlineLvl w:val="0"/>
              <w:rPr>
                <w:rFonts w:eastAsia="SimSun" w:cs="Arial"/>
                <w:sz w:val="18"/>
                <w:szCs w:val="18"/>
                <w:lang w:eastAsia="en-AU"/>
              </w:rPr>
            </w:pPr>
            <w:bookmarkStart w:id="372" w:name="_Toc145672718"/>
            <w:bookmarkStart w:id="373" w:name="_Toc145673116"/>
            <w:bookmarkStart w:id="374" w:name="_Toc145926946"/>
            <w:r w:rsidRPr="00592257">
              <w:rPr>
                <w:rFonts w:eastAsia="SimSun" w:cs="Arial"/>
                <w:bCs/>
                <w:i/>
                <w:sz w:val="18"/>
                <w:szCs w:val="18"/>
                <w:lang w:eastAsia="en-AU"/>
              </w:rPr>
              <w:t>Section B: Notes about our Financial Performance</w:t>
            </w:r>
            <w:bookmarkEnd w:id="372"/>
            <w:bookmarkEnd w:id="373"/>
            <w:bookmarkEnd w:id="374"/>
          </w:p>
        </w:tc>
        <w:tc>
          <w:tcPr>
            <w:tcW w:w="1115" w:type="dxa"/>
            <w:tcBorders>
              <w:top w:val="single" w:sz="4" w:space="0" w:color="auto"/>
            </w:tcBorders>
            <w:shd w:val="clear" w:color="auto" w:fill="auto"/>
          </w:tcPr>
          <w:p w14:paraId="2545B797" w14:textId="77777777" w:rsidR="0049143C" w:rsidRPr="00592257" w:rsidRDefault="0049143C">
            <w:pPr>
              <w:spacing w:before="60" w:after="0" w:line="300" w:lineRule="auto"/>
              <w:jc w:val="center"/>
              <w:outlineLvl w:val="0"/>
              <w:rPr>
                <w:rFonts w:eastAsia="SimSun" w:cs="Arial"/>
                <w:sz w:val="18"/>
                <w:szCs w:val="18"/>
                <w:lang w:eastAsia="en-AU"/>
              </w:rPr>
            </w:pPr>
          </w:p>
        </w:tc>
      </w:tr>
      <w:tr w:rsidR="0049143C" w:rsidRPr="00592257" w14:paraId="44136E03" w14:textId="77777777" w:rsidTr="00E81C34">
        <w:tc>
          <w:tcPr>
            <w:tcW w:w="8523" w:type="dxa"/>
            <w:shd w:val="clear" w:color="auto" w:fill="auto"/>
          </w:tcPr>
          <w:p w14:paraId="7F6EC5CC" w14:textId="77777777" w:rsidR="0049143C" w:rsidRPr="00592257" w:rsidRDefault="0049143C">
            <w:pPr>
              <w:spacing w:before="60" w:after="0" w:line="300" w:lineRule="auto"/>
              <w:ind w:left="340"/>
              <w:outlineLvl w:val="0"/>
              <w:rPr>
                <w:rFonts w:eastAsia="SimSun" w:cs="Arial"/>
                <w:sz w:val="18"/>
                <w:szCs w:val="18"/>
                <w:lang w:eastAsia="en-AU"/>
              </w:rPr>
            </w:pPr>
            <w:bookmarkStart w:id="375" w:name="_Toc145672719"/>
            <w:bookmarkStart w:id="376" w:name="_Toc145673117"/>
            <w:bookmarkStart w:id="377" w:name="_Toc145926947"/>
            <w:r w:rsidRPr="00592257">
              <w:rPr>
                <w:rFonts w:eastAsia="SimSun" w:cs="Arial"/>
                <w:bCs/>
                <w:sz w:val="18"/>
                <w:szCs w:val="18"/>
                <w:lang w:eastAsia="en-AU"/>
              </w:rPr>
              <w:t>B1 Revenue</w:t>
            </w:r>
            <w:bookmarkEnd w:id="375"/>
            <w:bookmarkEnd w:id="376"/>
            <w:bookmarkEnd w:id="377"/>
          </w:p>
        </w:tc>
        <w:tc>
          <w:tcPr>
            <w:tcW w:w="1115" w:type="dxa"/>
            <w:shd w:val="clear" w:color="auto" w:fill="auto"/>
          </w:tcPr>
          <w:p w14:paraId="57A73119" w14:textId="77777777" w:rsidR="0049143C" w:rsidRPr="00592257" w:rsidRDefault="0049143C">
            <w:pPr>
              <w:spacing w:before="60" w:after="0" w:line="300" w:lineRule="auto"/>
              <w:jc w:val="center"/>
              <w:outlineLvl w:val="0"/>
              <w:rPr>
                <w:rFonts w:eastAsia="SimSun" w:cs="Arial"/>
                <w:sz w:val="18"/>
                <w:szCs w:val="18"/>
                <w:lang w:eastAsia="en-AU"/>
              </w:rPr>
            </w:pPr>
            <w:bookmarkStart w:id="378" w:name="_Toc145672720"/>
            <w:bookmarkStart w:id="379" w:name="_Toc145673118"/>
            <w:bookmarkStart w:id="380" w:name="_Toc145926948"/>
            <w:r>
              <w:rPr>
                <w:rFonts w:eastAsia="SimSun" w:cs="Arial"/>
                <w:sz w:val="18"/>
                <w:szCs w:val="18"/>
                <w:lang w:eastAsia="en-AU"/>
              </w:rPr>
              <w:t>30</w:t>
            </w:r>
            <w:bookmarkEnd w:id="378"/>
            <w:bookmarkEnd w:id="379"/>
            <w:bookmarkEnd w:id="380"/>
          </w:p>
        </w:tc>
      </w:tr>
      <w:tr w:rsidR="0049143C" w:rsidRPr="00592257" w14:paraId="47E46F1C" w14:textId="77777777" w:rsidTr="00E81C34">
        <w:tc>
          <w:tcPr>
            <w:tcW w:w="8523" w:type="dxa"/>
            <w:tcBorders>
              <w:bottom w:val="single" w:sz="4" w:space="0" w:color="auto"/>
            </w:tcBorders>
            <w:shd w:val="clear" w:color="auto" w:fill="auto"/>
          </w:tcPr>
          <w:p w14:paraId="38705271" w14:textId="77777777" w:rsidR="0049143C" w:rsidRPr="00592257" w:rsidRDefault="0049143C">
            <w:pPr>
              <w:spacing w:before="60" w:after="0" w:line="300" w:lineRule="auto"/>
              <w:ind w:left="340"/>
              <w:outlineLvl w:val="0"/>
              <w:rPr>
                <w:rFonts w:eastAsia="SimSun" w:cs="Arial"/>
                <w:bCs/>
                <w:sz w:val="18"/>
                <w:szCs w:val="18"/>
                <w:lang w:eastAsia="en-AU"/>
              </w:rPr>
            </w:pPr>
            <w:bookmarkStart w:id="381" w:name="_Toc145672721"/>
            <w:bookmarkStart w:id="382" w:name="_Toc145673119"/>
            <w:bookmarkStart w:id="383" w:name="_Toc145926949"/>
            <w:r w:rsidRPr="00592257">
              <w:rPr>
                <w:rFonts w:eastAsia="SimSun" w:cs="Arial"/>
                <w:bCs/>
                <w:sz w:val="18"/>
                <w:szCs w:val="18"/>
                <w:lang w:eastAsia="en-AU"/>
              </w:rPr>
              <w:t>B2 Expenses</w:t>
            </w:r>
            <w:bookmarkEnd w:id="381"/>
            <w:bookmarkEnd w:id="382"/>
            <w:bookmarkEnd w:id="383"/>
          </w:p>
        </w:tc>
        <w:tc>
          <w:tcPr>
            <w:tcW w:w="1115" w:type="dxa"/>
            <w:tcBorders>
              <w:bottom w:val="single" w:sz="4" w:space="0" w:color="auto"/>
            </w:tcBorders>
            <w:shd w:val="clear" w:color="auto" w:fill="auto"/>
          </w:tcPr>
          <w:p w14:paraId="48177B5D" w14:textId="77777777" w:rsidR="0049143C" w:rsidRPr="00592257" w:rsidRDefault="0049143C">
            <w:pPr>
              <w:spacing w:before="60" w:after="0" w:line="300" w:lineRule="auto"/>
              <w:jc w:val="center"/>
              <w:outlineLvl w:val="0"/>
              <w:rPr>
                <w:rFonts w:eastAsia="SimSun" w:cs="Arial"/>
                <w:sz w:val="18"/>
                <w:szCs w:val="18"/>
                <w:lang w:eastAsia="en-AU"/>
              </w:rPr>
            </w:pPr>
            <w:bookmarkStart w:id="384" w:name="_Toc145672722"/>
            <w:bookmarkStart w:id="385" w:name="_Toc145673120"/>
            <w:bookmarkStart w:id="386" w:name="_Toc145926950"/>
            <w:r>
              <w:rPr>
                <w:rFonts w:eastAsia="SimSun" w:cs="Arial"/>
                <w:sz w:val="18"/>
                <w:szCs w:val="18"/>
                <w:lang w:eastAsia="en-AU"/>
              </w:rPr>
              <w:t>31</w:t>
            </w:r>
            <w:bookmarkEnd w:id="384"/>
            <w:bookmarkEnd w:id="385"/>
            <w:bookmarkEnd w:id="386"/>
          </w:p>
        </w:tc>
      </w:tr>
      <w:tr w:rsidR="0049143C" w:rsidRPr="00592257" w14:paraId="04E4CCFA" w14:textId="77777777" w:rsidTr="00E81C34">
        <w:tc>
          <w:tcPr>
            <w:tcW w:w="8523" w:type="dxa"/>
            <w:tcBorders>
              <w:top w:val="single" w:sz="4" w:space="0" w:color="auto"/>
            </w:tcBorders>
            <w:shd w:val="clear" w:color="auto" w:fill="auto"/>
          </w:tcPr>
          <w:p w14:paraId="21875439" w14:textId="77777777" w:rsidR="0049143C" w:rsidRPr="00592257" w:rsidRDefault="0049143C">
            <w:pPr>
              <w:spacing w:before="60" w:after="0" w:line="300" w:lineRule="auto"/>
              <w:ind w:left="340"/>
              <w:outlineLvl w:val="0"/>
              <w:rPr>
                <w:rFonts w:eastAsia="SimSun" w:cs="Arial"/>
                <w:sz w:val="18"/>
                <w:szCs w:val="18"/>
                <w:lang w:eastAsia="en-AU"/>
              </w:rPr>
            </w:pPr>
            <w:bookmarkStart w:id="387" w:name="_Toc145672723"/>
            <w:bookmarkStart w:id="388" w:name="_Toc145673121"/>
            <w:bookmarkStart w:id="389" w:name="_Toc145926951"/>
            <w:r w:rsidRPr="00592257">
              <w:rPr>
                <w:rFonts w:eastAsia="SimSun" w:cs="Arial"/>
                <w:bCs/>
                <w:i/>
                <w:sz w:val="18"/>
                <w:szCs w:val="18"/>
                <w:lang w:eastAsia="en-AU"/>
              </w:rPr>
              <w:t>Section C: Notes about our Financial Position</w:t>
            </w:r>
            <w:bookmarkEnd w:id="387"/>
            <w:bookmarkEnd w:id="388"/>
            <w:bookmarkEnd w:id="389"/>
          </w:p>
        </w:tc>
        <w:tc>
          <w:tcPr>
            <w:tcW w:w="1115" w:type="dxa"/>
            <w:tcBorders>
              <w:top w:val="single" w:sz="4" w:space="0" w:color="auto"/>
            </w:tcBorders>
            <w:shd w:val="clear" w:color="auto" w:fill="auto"/>
          </w:tcPr>
          <w:p w14:paraId="5FB6DA62" w14:textId="77777777" w:rsidR="0049143C" w:rsidRPr="00592257" w:rsidRDefault="0049143C">
            <w:pPr>
              <w:spacing w:before="60" w:after="0" w:line="300" w:lineRule="auto"/>
              <w:jc w:val="center"/>
              <w:outlineLvl w:val="0"/>
              <w:rPr>
                <w:rFonts w:eastAsia="SimSun" w:cs="Arial"/>
                <w:sz w:val="18"/>
                <w:szCs w:val="18"/>
                <w:lang w:eastAsia="en-AU"/>
              </w:rPr>
            </w:pPr>
          </w:p>
        </w:tc>
      </w:tr>
      <w:tr w:rsidR="0056114E" w:rsidRPr="00592257" w14:paraId="6EF97C41" w14:textId="77777777" w:rsidTr="00E81C34">
        <w:tc>
          <w:tcPr>
            <w:tcW w:w="8523" w:type="dxa"/>
            <w:shd w:val="clear" w:color="auto" w:fill="auto"/>
          </w:tcPr>
          <w:p w14:paraId="58985176" w14:textId="7142A7AE" w:rsidR="0056114E" w:rsidRPr="00592257" w:rsidRDefault="0056114E" w:rsidP="0056114E">
            <w:pPr>
              <w:spacing w:before="60" w:after="0" w:line="300" w:lineRule="auto"/>
              <w:ind w:left="340"/>
              <w:outlineLvl w:val="0"/>
              <w:rPr>
                <w:rFonts w:eastAsia="SimSun" w:cs="Arial"/>
                <w:bCs/>
                <w:sz w:val="18"/>
                <w:szCs w:val="18"/>
                <w:lang w:eastAsia="en-AU"/>
              </w:rPr>
            </w:pPr>
            <w:bookmarkStart w:id="390" w:name="_Toc145672724"/>
            <w:bookmarkStart w:id="391" w:name="_Toc145673122"/>
            <w:bookmarkStart w:id="392" w:name="_Toc145926952"/>
            <w:r w:rsidRPr="00196AAA">
              <w:rPr>
                <w:rFonts w:cs="Arial"/>
                <w:bCs/>
                <w:sz w:val="18"/>
                <w:szCs w:val="18"/>
              </w:rPr>
              <w:t>C1</w:t>
            </w:r>
            <w:r>
              <w:rPr>
                <w:rFonts w:cs="Arial"/>
                <w:bCs/>
                <w:sz w:val="18"/>
                <w:szCs w:val="18"/>
              </w:rPr>
              <w:t xml:space="preserve"> Cash and Cash Equivalents</w:t>
            </w:r>
            <w:bookmarkEnd w:id="390"/>
            <w:bookmarkEnd w:id="391"/>
            <w:bookmarkEnd w:id="392"/>
          </w:p>
        </w:tc>
        <w:tc>
          <w:tcPr>
            <w:tcW w:w="1115" w:type="dxa"/>
            <w:shd w:val="clear" w:color="auto" w:fill="auto"/>
          </w:tcPr>
          <w:p w14:paraId="6679F002" w14:textId="77777777" w:rsidR="0056114E" w:rsidRPr="00592257" w:rsidRDefault="0056114E" w:rsidP="0056114E">
            <w:pPr>
              <w:spacing w:before="60" w:after="0" w:line="300" w:lineRule="auto"/>
              <w:jc w:val="center"/>
              <w:outlineLvl w:val="0"/>
              <w:rPr>
                <w:rFonts w:eastAsia="SimSun" w:cs="Arial"/>
                <w:sz w:val="18"/>
                <w:szCs w:val="18"/>
                <w:lang w:eastAsia="en-AU"/>
              </w:rPr>
            </w:pPr>
            <w:bookmarkStart w:id="393" w:name="_Toc145672725"/>
            <w:bookmarkStart w:id="394" w:name="_Toc145673123"/>
            <w:bookmarkStart w:id="395" w:name="_Toc145926953"/>
            <w:r>
              <w:rPr>
                <w:rFonts w:eastAsia="SimSun" w:cs="Arial"/>
                <w:sz w:val="18"/>
                <w:szCs w:val="18"/>
                <w:lang w:eastAsia="en-AU"/>
              </w:rPr>
              <w:t>32</w:t>
            </w:r>
            <w:bookmarkEnd w:id="393"/>
            <w:bookmarkEnd w:id="394"/>
            <w:bookmarkEnd w:id="395"/>
          </w:p>
        </w:tc>
      </w:tr>
      <w:tr w:rsidR="0056114E" w:rsidRPr="00592257" w14:paraId="6D24AA5E" w14:textId="77777777" w:rsidTr="00E81C34">
        <w:tc>
          <w:tcPr>
            <w:tcW w:w="8523" w:type="dxa"/>
            <w:shd w:val="clear" w:color="auto" w:fill="auto"/>
          </w:tcPr>
          <w:p w14:paraId="7420A94B" w14:textId="7C850B15" w:rsidR="0056114E" w:rsidRPr="00592257" w:rsidRDefault="0056114E" w:rsidP="0056114E">
            <w:pPr>
              <w:spacing w:before="60" w:after="0" w:line="300" w:lineRule="auto"/>
              <w:ind w:left="340"/>
              <w:outlineLvl w:val="0"/>
              <w:rPr>
                <w:rFonts w:eastAsia="SimSun" w:cs="Arial"/>
                <w:bCs/>
                <w:sz w:val="18"/>
                <w:szCs w:val="18"/>
                <w:lang w:eastAsia="en-AU"/>
              </w:rPr>
            </w:pPr>
            <w:bookmarkStart w:id="396" w:name="_Toc145672726"/>
            <w:bookmarkStart w:id="397" w:name="_Toc145673124"/>
            <w:bookmarkStart w:id="398" w:name="_Toc145926954"/>
            <w:r w:rsidRPr="00196AAA">
              <w:rPr>
                <w:rFonts w:cs="Arial"/>
                <w:bCs/>
                <w:sz w:val="18"/>
                <w:szCs w:val="18"/>
              </w:rPr>
              <w:t>C</w:t>
            </w:r>
            <w:r>
              <w:rPr>
                <w:rFonts w:cs="Arial"/>
                <w:bCs/>
                <w:sz w:val="18"/>
                <w:szCs w:val="18"/>
              </w:rPr>
              <w:t>2 Receivables</w:t>
            </w:r>
            <w:bookmarkEnd w:id="396"/>
            <w:bookmarkEnd w:id="397"/>
            <w:bookmarkEnd w:id="398"/>
          </w:p>
        </w:tc>
        <w:tc>
          <w:tcPr>
            <w:tcW w:w="1115" w:type="dxa"/>
            <w:shd w:val="clear" w:color="auto" w:fill="auto"/>
          </w:tcPr>
          <w:p w14:paraId="240BA0CD" w14:textId="77777777" w:rsidR="0056114E" w:rsidRPr="00592257" w:rsidRDefault="0056114E" w:rsidP="0056114E">
            <w:pPr>
              <w:spacing w:before="60" w:after="0" w:line="300" w:lineRule="auto"/>
              <w:jc w:val="center"/>
              <w:outlineLvl w:val="0"/>
              <w:rPr>
                <w:rFonts w:eastAsia="SimSun" w:cs="Arial"/>
                <w:bCs/>
                <w:sz w:val="18"/>
                <w:szCs w:val="18"/>
                <w:lang w:eastAsia="en-AU"/>
              </w:rPr>
            </w:pPr>
            <w:bookmarkStart w:id="399" w:name="_Toc145672727"/>
            <w:bookmarkStart w:id="400" w:name="_Toc145673125"/>
            <w:bookmarkStart w:id="401" w:name="_Toc145926955"/>
            <w:r>
              <w:rPr>
                <w:rFonts w:eastAsia="SimSun" w:cs="Arial"/>
                <w:bCs/>
                <w:sz w:val="18"/>
                <w:szCs w:val="18"/>
                <w:lang w:eastAsia="en-AU"/>
              </w:rPr>
              <w:t>32</w:t>
            </w:r>
            <w:bookmarkEnd w:id="399"/>
            <w:bookmarkEnd w:id="400"/>
            <w:bookmarkEnd w:id="401"/>
          </w:p>
        </w:tc>
      </w:tr>
      <w:tr w:rsidR="0056114E" w:rsidRPr="00592257" w14:paraId="7D8A01AA" w14:textId="77777777" w:rsidTr="00E81C34">
        <w:tc>
          <w:tcPr>
            <w:tcW w:w="8523" w:type="dxa"/>
            <w:shd w:val="clear" w:color="auto" w:fill="auto"/>
          </w:tcPr>
          <w:p w14:paraId="32A8C672" w14:textId="073F7B2A" w:rsidR="0056114E" w:rsidRPr="00592257" w:rsidRDefault="0056114E" w:rsidP="0056114E">
            <w:pPr>
              <w:spacing w:before="60" w:after="0" w:line="300" w:lineRule="auto"/>
              <w:ind w:left="340"/>
              <w:outlineLvl w:val="0"/>
              <w:rPr>
                <w:rFonts w:eastAsia="SimSun" w:cs="Arial"/>
                <w:bCs/>
                <w:sz w:val="18"/>
                <w:szCs w:val="18"/>
                <w:lang w:eastAsia="en-AU"/>
              </w:rPr>
            </w:pPr>
            <w:bookmarkStart w:id="402" w:name="_Toc145672728"/>
            <w:bookmarkStart w:id="403" w:name="_Toc145673126"/>
            <w:bookmarkStart w:id="404" w:name="_Toc145926956"/>
            <w:r w:rsidRPr="00196AAA">
              <w:rPr>
                <w:rFonts w:cs="Arial"/>
                <w:bCs/>
                <w:sz w:val="18"/>
                <w:szCs w:val="18"/>
              </w:rPr>
              <w:t>C</w:t>
            </w:r>
            <w:r>
              <w:rPr>
                <w:rFonts w:cs="Arial"/>
                <w:bCs/>
                <w:sz w:val="18"/>
                <w:szCs w:val="18"/>
              </w:rPr>
              <w:t>3 Other Current Assets</w:t>
            </w:r>
            <w:bookmarkEnd w:id="402"/>
            <w:bookmarkEnd w:id="403"/>
            <w:bookmarkEnd w:id="404"/>
          </w:p>
        </w:tc>
        <w:tc>
          <w:tcPr>
            <w:tcW w:w="1115" w:type="dxa"/>
            <w:shd w:val="clear" w:color="auto" w:fill="auto"/>
          </w:tcPr>
          <w:p w14:paraId="0FD1C548" w14:textId="77777777" w:rsidR="0056114E" w:rsidRPr="00592257" w:rsidRDefault="0056114E" w:rsidP="0056114E">
            <w:pPr>
              <w:spacing w:before="60" w:after="0" w:line="300" w:lineRule="auto"/>
              <w:jc w:val="center"/>
              <w:outlineLvl w:val="0"/>
              <w:rPr>
                <w:rFonts w:eastAsia="SimSun" w:cs="Arial"/>
                <w:bCs/>
                <w:sz w:val="18"/>
                <w:szCs w:val="18"/>
                <w:lang w:eastAsia="en-AU"/>
              </w:rPr>
            </w:pPr>
            <w:bookmarkStart w:id="405" w:name="_Toc145672729"/>
            <w:bookmarkStart w:id="406" w:name="_Toc145673127"/>
            <w:bookmarkStart w:id="407" w:name="_Toc145926957"/>
            <w:r>
              <w:rPr>
                <w:rFonts w:eastAsia="SimSun" w:cs="Arial"/>
                <w:bCs/>
                <w:sz w:val="18"/>
                <w:szCs w:val="18"/>
                <w:lang w:eastAsia="en-AU"/>
              </w:rPr>
              <w:t>33</w:t>
            </w:r>
            <w:bookmarkEnd w:id="405"/>
            <w:bookmarkEnd w:id="406"/>
            <w:bookmarkEnd w:id="407"/>
          </w:p>
        </w:tc>
      </w:tr>
      <w:tr w:rsidR="0056114E" w:rsidRPr="00592257" w14:paraId="1244C18F" w14:textId="77777777" w:rsidTr="00E81C34">
        <w:tc>
          <w:tcPr>
            <w:tcW w:w="8523" w:type="dxa"/>
            <w:shd w:val="clear" w:color="auto" w:fill="auto"/>
          </w:tcPr>
          <w:p w14:paraId="326EE4E6" w14:textId="143F0FEE" w:rsidR="0056114E" w:rsidRPr="00592257" w:rsidRDefault="0056114E" w:rsidP="0056114E">
            <w:pPr>
              <w:spacing w:before="60" w:after="0" w:line="300" w:lineRule="auto"/>
              <w:ind w:left="340"/>
              <w:outlineLvl w:val="0"/>
              <w:rPr>
                <w:rFonts w:eastAsia="SimSun" w:cs="Arial"/>
                <w:bCs/>
                <w:sz w:val="18"/>
                <w:szCs w:val="18"/>
                <w:lang w:eastAsia="en-AU"/>
              </w:rPr>
            </w:pPr>
            <w:bookmarkStart w:id="408" w:name="_Toc145672730"/>
            <w:bookmarkStart w:id="409" w:name="_Toc145673128"/>
            <w:bookmarkStart w:id="410" w:name="_Toc145926958"/>
            <w:r>
              <w:rPr>
                <w:rFonts w:cs="Arial"/>
                <w:bCs/>
                <w:sz w:val="18"/>
                <w:szCs w:val="18"/>
              </w:rPr>
              <w:t>C4 Intangibles and Amortisation Expense</w:t>
            </w:r>
            <w:bookmarkEnd w:id="408"/>
            <w:bookmarkEnd w:id="409"/>
            <w:bookmarkEnd w:id="410"/>
          </w:p>
        </w:tc>
        <w:tc>
          <w:tcPr>
            <w:tcW w:w="1115" w:type="dxa"/>
            <w:shd w:val="clear" w:color="auto" w:fill="auto"/>
          </w:tcPr>
          <w:p w14:paraId="6350150F" w14:textId="77777777" w:rsidR="0056114E" w:rsidRPr="00592257" w:rsidRDefault="0056114E" w:rsidP="0056114E">
            <w:pPr>
              <w:spacing w:before="60" w:after="0" w:line="300" w:lineRule="auto"/>
              <w:jc w:val="center"/>
              <w:outlineLvl w:val="0"/>
              <w:rPr>
                <w:rFonts w:eastAsia="SimSun" w:cs="Arial"/>
                <w:bCs/>
                <w:sz w:val="18"/>
                <w:szCs w:val="18"/>
                <w:lang w:eastAsia="en-AU"/>
              </w:rPr>
            </w:pPr>
            <w:bookmarkStart w:id="411" w:name="_Toc145672731"/>
            <w:bookmarkStart w:id="412" w:name="_Toc145673129"/>
            <w:bookmarkStart w:id="413" w:name="_Toc145926959"/>
            <w:r>
              <w:rPr>
                <w:rFonts w:eastAsia="SimSun" w:cs="Arial"/>
                <w:bCs/>
                <w:sz w:val="18"/>
                <w:szCs w:val="18"/>
                <w:lang w:eastAsia="en-AU"/>
              </w:rPr>
              <w:t>33</w:t>
            </w:r>
            <w:bookmarkEnd w:id="411"/>
            <w:bookmarkEnd w:id="412"/>
            <w:bookmarkEnd w:id="413"/>
          </w:p>
        </w:tc>
      </w:tr>
      <w:tr w:rsidR="0056114E" w:rsidRPr="00592257" w14:paraId="25F712DE" w14:textId="77777777" w:rsidTr="00E81C34">
        <w:trPr>
          <w:trHeight w:val="764"/>
        </w:trPr>
        <w:tc>
          <w:tcPr>
            <w:tcW w:w="8523" w:type="dxa"/>
            <w:tcBorders>
              <w:bottom w:val="single" w:sz="4" w:space="0" w:color="auto"/>
            </w:tcBorders>
            <w:shd w:val="clear" w:color="auto" w:fill="auto"/>
          </w:tcPr>
          <w:p w14:paraId="408AFEBF" w14:textId="77777777" w:rsidR="0056114E" w:rsidRDefault="0056114E" w:rsidP="0056114E">
            <w:pPr>
              <w:spacing w:before="60" w:after="0" w:line="300" w:lineRule="auto"/>
              <w:ind w:left="340"/>
              <w:outlineLvl w:val="0"/>
              <w:rPr>
                <w:rFonts w:cs="Arial"/>
                <w:bCs/>
                <w:sz w:val="18"/>
                <w:szCs w:val="18"/>
              </w:rPr>
            </w:pPr>
            <w:bookmarkStart w:id="414" w:name="_Toc145672732"/>
            <w:bookmarkStart w:id="415" w:name="_Toc145673130"/>
            <w:bookmarkStart w:id="416" w:name="_Toc145926960"/>
            <w:r w:rsidRPr="00663D75">
              <w:rPr>
                <w:rFonts w:cs="Arial"/>
                <w:bCs/>
                <w:sz w:val="18"/>
                <w:szCs w:val="18"/>
              </w:rPr>
              <w:t>C</w:t>
            </w:r>
            <w:r>
              <w:rPr>
                <w:rFonts w:cs="Arial"/>
                <w:bCs/>
                <w:sz w:val="18"/>
                <w:szCs w:val="18"/>
              </w:rPr>
              <w:t>5</w:t>
            </w:r>
            <w:r w:rsidRPr="00663D75">
              <w:rPr>
                <w:rFonts w:cs="Arial"/>
                <w:bCs/>
                <w:sz w:val="18"/>
                <w:szCs w:val="18"/>
              </w:rPr>
              <w:t xml:space="preserve"> Payables</w:t>
            </w:r>
            <w:bookmarkEnd w:id="414"/>
            <w:bookmarkEnd w:id="415"/>
            <w:bookmarkEnd w:id="416"/>
          </w:p>
          <w:p w14:paraId="2AC8C630" w14:textId="3ABF1203" w:rsidR="0056114E" w:rsidRDefault="0056114E" w:rsidP="0056114E">
            <w:pPr>
              <w:spacing w:before="60" w:after="0" w:line="300" w:lineRule="auto"/>
              <w:ind w:left="340"/>
              <w:outlineLvl w:val="0"/>
              <w:rPr>
                <w:rFonts w:cs="Arial"/>
                <w:bCs/>
                <w:iCs/>
                <w:sz w:val="18"/>
                <w:szCs w:val="18"/>
              </w:rPr>
            </w:pPr>
            <w:bookmarkStart w:id="417" w:name="_Toc145672733"/>
            <w:bookmarkStart w:id="418" w:name="_Toc145673131"/>
            <w:bookmarkStart w:id="419" w:name="_Toc145926961"/>
            <w:r>
              <w:rPr>
                <w:rFonts w:cs="Arial"/>
                <w:bCs/>
                <w:iCs/>
                <w:sz w:val="18"/>
                <w:szCs w:val="18"/>
              </w:rPr>
              <w:t>C6</w:t>
            </w:r>
            <w:r w:rsidR="00FC5825">
              <w:rPr>
                <w:rFonts w:cs="Arial"/>
                <w:bCs/>
                <w:iCs/>
                <w:sz w:val="18"/>
                <w:szCs w:val="18"/>
              </w:rPr>
              <w:t xml:space="preserve"> </w:t>
            </w:r>
            <w:r w:rsidR="00A31313" w:rsidRPr="00A31313">
              <w:rPr>
                <w:rFonts w:cs="Arial"/>
                <w:bCs/>
                <w:iCs/>
                <w:sz w:val="18"/>
                <w:szCs w:val="18"/>
              </w:rPr>
              <w:t>Accrued Employee Benefits</w:t>
            </w:r>
            <w:bookmarkEnd w:id="417"/>
            <w:bookmarkEnd w:id="418"/>
            <w:bookmarkEnd w:id="419"/>
          </w:p>
          <w:p w14:paraId="72C24E02" w14:textId="50DF2ADE" w:rsidR="0056114E" w:rsidRPr="0056114E" w:rsidRDefault="0056114E" w:rsidP="0056114E">
            <w:pPr>
              <w:spacing w:before="60" w:after="0" w:line="300" w:lineRule="auto"/>
              <w:ind w:left="340"/>
              <w:outlineLvl w:val="0"/>
              <w:rPr>
                <w:rFonts w:cs="Arial"/>
                <w:bCs/>
                <w:iCs/>
                <w:sz w:val="18"/>
                <w:szCs w:val="18"/>
              </w:rPr>
            </w:pPr>
            <w:bookmarkStart w:id="420" w:name="_Toc145672734"/>
            <w:bookmarkStart w:id="421" w:name="_Toc145673132"/>
            <w:bookmarkStart w:id="422" w:name="_Toc145926962"/>
            <w:r>
              <w:rPr>
                <w:rFonts w:cs="Arial"/>
                <w:bCs/>
                <w:iCs/>
                <w:sz w:val="18"/>
                <w:szCs w:val="18"/>
              </w:rPr>
              <w:t>C7</w:t>
            </w:r>
            <w:r w:rsidR="001A2562">
              <w:rPr>
                <w:rFonts w:cs="Arial"/>
                <w:bCs/>
                <w:iCs/>
                <w:sz w:val="18"/>
                <w:szCs w:val="18"/>
              </w:rPr>
              <w:t xml:space="preserve"> </w:t>
            </w:r>
            <w:r w:rsidR="001A2562" w:rsidRPr="001A2562">
              <w:rPr>
                <w:rFonts w:cs="Arial"/>
                <w:bCs/>
                <w:iCs/>
                <w:sz w:val="18"/>
                <w:szCs w:val="18"/>
              </w:rPr>
              <w:t>Appropriations Recognised in Equity</w:t>
            </w:r>
            <w:bookmarkEnd w:id="420"/>
            <w:bookmarkEnd w:id="421"/>
            <w:bookmarkEnd w:id="422"/>
          </w:p>
        </w:tc>
        <w:tc>
          <w:tcPr>
            <w:tcW w:w="1115" w:type="dxa"/>
            <w:tcBorders>
              <w:bottom w:val="single" w:sz="4" w:space="0" w:color="auto"/>
            </w:tcBorders>
            <w:shd w:val="clear" w:color="auto" w:fill="auto"/>
          </w:tcPr>
          <w:p w14:paraId="6C6B979D" w14:textId="77777777" w:rsidR="0056114E" w:rsidRDefault="0056114E" w:rsidP="0056114E">
            <w:pPr>
              <w:spacing w:before="60" w:after="0" w:line="300" w:lineRule="auto"/>
              <w:jc w:val="center"/>
              <w:outlineLvl w:val="0"/>
              <w:rPr>
                <w:rFonts w:eastAsia="SimSun" w:cs="Arial"/>
                <w:bCs/>
                <w:sz w:val="18"/>
                <w:szCs w:val="18"/>
                <w:lang w:eastAsia="en-AU"/>
              </w:rPr>
            </w:pPr>
            <w:bookmarkStart w:id="423" w:name="_Toc145672735"/>
            <w:bookmarkStart w:id="424" w:name="_Toc145673133"/>
            <w:bookmarkStart w:id="425" w:name="_Toc145926963"/>
            <w:r>
              <w:rPr>
                <w:rFonts w:eastAsia="SimSun" w:cs="Arial"/>
                <w:bCs/>
                <w:sz w:val="18"/>
                <w:szCs w:val="18"/>
                <w:lang w:eastAsia="en-AU"/>
              </w:rPr>
              <w:t>33</w:t>
            </w:r>
            <w:bookmarkEnd w:id="423"/>
            <w:bookmarkEnd w:id="424"/>
            <w:bookmarkEnd w:id="425"/>
          </w:p>
          <w:p w14:paraId="0B81F378" w14:textId="360E6671" w:rsidR="001A2562" w:rsidRDefault="007363B6" w:rsidP="0056114E">
            <w:pPr>
              <w:spacing w:before="60" w:after="0" w:line="300" w:lineRule="auto"/>
              <w:jc w:val="center"/>
              <w:outlineLvl w:val="0"/>
              <w:rPr>
                <w:rFonts w:eastAsia="SimSun" w:cs="Arial"/>
                <w:bCs/>
                <w:sz w:val="18"/>
                <w:szCs w:val="18"/>
                <w:lang w:eastAsia="en-AU"/>
              </w:rPr>
            </w:pPr>
            <w:bookmarkStart w:id="426" w:name="_Toc145672736"/>
            <w:bookmarkStart w:id="427" w:name="_Toc145673134"/>
            <w:bookmarkStart w:id="428" w:name="_Toc145926964"/>
            <w:r>
              <w:rPr>
                <w:rFonts w:eastAsia="SimSun" w:cs="Arial"/>
                <w:bCs/>
                <w:sz w:val="18"/>
                <w:szCs w:val="18"/>
                <w:lang w:eastAsia="en-AU"/>
              </w:rPr>
              <w:t>34</w:t>
            </w:r>
            <w:bookmarkEnd w:id="426"/>
            <w:bookmarkEnd w:id="427"/>
            <w:bookmarkEnd w:id="428"/>
          </w:p>
          <w:p w14:paraId="2337925F" w14:textId="41C3298E" w:rsidR="001A2562" w:rsidRPr="00592257" w:rsidRDefault="007363B6" w:rsidP="0056114E">
            <w:pPr>
              <w:spacing w:before="60" w:after="0" w:line="300" w:lineRule="auto"/>
              <w:jc w:val="center"/>
              <w:outlineLvl w:val="0"/>
              <w:rPr>
                <w:rFonts w:eastAsia="SimSun" w:cs="Arial"/>
                <w:bCs/>
                <w:sz w:val="18"/>
                <w:szCs w:val="18"/>
                <w:lang w:eastAsia="en-AU"/>
              </w:rPr>
            </w:pPr>
            <w:bookmarkStart w:id="429" w:name="_Toc145672737"/>
            <w:bookmarkStart w:id="430" w:name="_Toc145673135"/>
            <w:bookmarkStart w:id="431" w:name="_Toc145926965"/>
            <w:r>
              <w:rPr>
                <w:rFonts w:eastAsia="SimSun" w:cs="Arial"/>
                <w:bCs/>
                <w:sz w:val="18"/>
                <w:szCs w:val="18"/>
                <w:lang w:eastAsia="en-AU"/>
              </w:rPr>
              <w:t>34</w:t>
            </w:r>
            <w:bookmarkEnd w:id="429"/>
            <w:bookmarkEnd w:id="430"/>
            <w:bookmarkEnd w:id="431"/>
          </w:p>
        </w:tc>
      </w:tr>
      <w:tr w:rsidR="0049143C" w:rsidRPr="00592257" w14:paraId="35CCC8DC" w14:textId="77777777" w:rsidTr="00E81C34">
        <w:tc>
          <w:tcPr>
            <w:tcW w:w="8523" w:type="dxa"/>
            <w:tcBorders>
              <w:top w:val="single" w:sz="4" w:space="0" w:color="auto"/>
            </w:tcBorders>
            <w:shd w:val="clear" w:color="auto" w:fill="auto"/>
          </w:tcPr>
          <w:p w14:paraId="129B85A6" w14:textId="77777777" w:rsidR="0049143C" w:rsidRPr="00592257" w:rsidRDefault="0049143C">
            <w:pPr>
              <w:spacing w:before="60" w:after="0" w:line="300" w:lineRule="auto"/>
              <w:ind w:left="340"/>
              <w:outlineLvl w:val="0"/>
              <w:rPr>
                <w:rFonts w:eastAsia="SimSun" w:cs="Arial"/>
                <w:bCs/>
                <w:sz w:val="18"/>
                <w:szCs w:val="18"/>
                <w:lang w:eastAsia="en-AU"/>
              </w:rPr>
            </w:pPr>
            <w:bookmarkStart w:id="432" w:name="_Toc145672738"/>
            <w:bookmarkStart w:id="433" w:name="_Toc145673136"/>
            <w:bookmarkStart w:id="434" w:name="_Toc145926966"/>
            <w:r w:rsidRPr="00592257">
              <w:rPr>
                <w:rFonts w:eastAsia="SimSun" w:cs="Arial"/>
                <w:bCs/>
                <w:i/>
                <w:sz w:val="18"/>
                <w:szCs w:val="18"/>
                <w:lang w:eastAsia="en-AU"/>
              </w:rPr>
              <w:t>Section D: Notes about our Risks and other Accounting Uncertainties</w:t>
            </w:r>
            <w:bookmarkEnd w:id="432"/>
            <w:bookmarkEnd w:id="433"/>
            <w:bookmarkEnd w:id="434"/>
          </w:p>
        </w:tc>
        <w:tc>
          <w:tcPr>
            <w:tcW w:w="1115" w:type="dxa"/>
            <w:tcBorders>
              <w:top w:val="single" w:sz="4" w:space="0" w:color="auto"/>
            </w:tcBorders>
            <w:shd w:val="clear" w:color="auto" w:fill="auto"/>
          </w:tcPr>
          <w:p w14:paraId="7362F137" w14:textId="77777777" w:rsidR="0049143C" w:rsidRPr="00592257" w:rsidRDefault="0049143C">
            <w:pPr>
              <w:spacing w:before="60" w:after="0" w:line="300" w:lineRule="auto"/>
              <w:jc w:val="center"/>
              <w:outlineLvl w:val="0"/>
              <w:rPr>
                <w:rFonts w:eastAsia="SimSun" w:cs="Arial"/>
                <w:bCs/>
                <w:sz w:val="18"/>
                <w:szCs w:val="18"/>
                <w:lang w:eastAsia="en-AU"/>
              </w:rPr>
            </w:pPr>
          </w:p>
        </w:tc>
      </w:tr>
      <w:tr w:rsidR="0049143C" w:rsidRPr="00592257" w14:paraId="2769353C" w14:textId="77777777" w:rsidTr="00E81C34">
        <w:tc>
          <w:tcPr>
            <w:tcW w:w="8523" w:type="dxa"/>
            <w:shd w:val="clear" w:color="auto" w:fill="auto"/>
          </w:tcPr>
          <w:p w14:paraId="0C427FC2" w14:textId="77777777" w:rsidR="0049143C" w:rsidRPr="00592257" w:rsidRDefault="0049143C">
            <w:pPr>
              <w:spacing w:before="60" w:after="0" w:line="300" w:lineRule="auto"/>
              <w:ind w:left="340"/>
              <w:outlineLvl w:val="0"/>
              <w:rPr>
                <w:rFonts w:eastAsia="SimSun" w:cs="Arial"/>
                <w:bCs/>
                <w:sz w:val="18"/>
                <w:szCs w:val="18"/>
                <w:lang w:eastAsia="en-AU"/>
              </w:rPr>
            </w:pPr>
            <w:bookmarkStart w:id="435" w:name="_Toc145672739"/>
            <w:bookmarkStart w:id="436" w:name="_Toc145673137"/>
            <w:bookmarkStart w:id="437" w:name="_Toc145926967"/>
            <w:r w:rsidRPr="00592257">
              <w:rPr>
                <w:rFonts w:eastAsia="SimSun" w:cs="Arial"/>
                <w:bCs/>
                <w:sz w:val="18"/>
                <w:szCs w:val="18"/>
                <w:lang w:eastAsia="en-AU"/>
              </w:rPr>
              <w:t>D1 Contingencies</w:t>
            </w:r>
            <w:bookmarkEnd w:id="435"/>
            <w:bookmarkEnd w:id="436"/>
            <w:bookmarkEnd w:id="437"/>
            <w:r w:rsidRPr="00592257">
              <w:rPr>
                <w:rFonts w:eastAsia="SimSun" w:cs="Arial"/>
                <w:bCs/>
                <w:sz w:val="18"/>
                <w:szCs w:val="18"/>
                <w:lang w:eastAsia="en-AU"/>
              </w:rPr>
              <w:t xml:space="preserve"> </w:t>
            </w:r>
          </w:p>
        </w:tc>
        <w:tc>
          <w:tcPr>
            <w:tcW w:w="1115" w:type="dxa"/>
            <w:shd w:val="clear" w:color="auto" w:fill="auto"/>
          </w:tcPr>
          <w:p w14:paraId="6E2BF52A" w14:textId="7E4655A8" w:rsidR="0049143C" w:rsidRPr="00592257" w:rsidRDefault="002E0E7D">
            <w:pPr>
              <w:spacing w:before="60" w:after="0" w:line="300" w:lineRule="auto"/>
              <w:jc w:val="center"/>
              <w:outlineLvl w:val="0"/>
              <w:rPr>
                <w:rFonts w:eastAsia="SimSun" w:cs="Arial"/>
                <w:bCs/>
                <w:sz w:val="18"/>
                <w:szCs w:val="18"/>
                <w:lang w:eastAsia="en-AU"/>
              </w:rPr>
            </w:pPr>
            <w:bookmarkStart w:id="438" w:name="_Toc145672740"/>
            <w:bookmarkStart w:id="439" w:name="_Toc145673138"/>
            <w:bookmarkStart w:id="440" w:name="_Toc145926968"/>
            <w:r>
              <w:rPr>
                <w:rFonts w:eastAsia="SimSun" w:cs="Arial"/>
                <w:bCs/>
                <w:sz w:val="18"/>
                <w:szCs w:val="18"/>
                <w:lang w:eastAsia="en-AU"/>
              </w:rPr>
              <w:t>34</w:t>
            </w:r>
            <w:bookmarkEnd w:id="438"/>
            <w:bookmarkEnd w:id="439"/>
            <w:bookmarkEnd w:id="440"/>
          </w:p>
        </w:tc>
      </w:tr>
      <w:tr w:rsidR="0049143C" w:rsidRPr="00592257" w14:paraId="5C1734F0" w14:textId="77777777" w:rsidTr="00E81C34">
        <w:tc>
          <w:tcPr>
            <w:tcW w:w="8523" w:type="dxa"/>
            <w:shd w:val="clear" w:color="auto" w:fill="auto"/>
          </w:tcPr>
          <w:p w14:paraId="0A2C04B5" w14:textId="77777777" w:rsidR="0049143C" w:rsidRPr="00592257" w:rsidRDefault="0049143C">
            <w:pPr>
              <w:spacing w:before="60" w:after="0" w:line="300" w:lineRule="auto"/>
              <w:ind w:left="340"/>
              <w:outlineLvl w:val="0"/>
              <w:rPr>
                <w:rFonts w:eastAsia="SimSun" w:cs="Arial"/>
                <w:bCs/>
                <w:sz w:val="18"/>
                <w:szCs w:val="18"/>
                <w:lang w:eastAsia="en-AU"/>
              </w:rPr>
            </w:pPr>
            <w:bookmarkStart w:id="441" w:name="_Toc145672741"/>
            <w:bookmarkStart w:id="442" w:name="_Toc145673139"/>
            <w:bookmarkStart w:id="443" w:name="_Toc145926969"/>
            <w:r w:rsidRPr="00592257">
              <w:rPr>
                <w:rFonts w:eastAsia="SimSun" w:cs="Arial"/>
                <w:bCs/>
                <w:sz w:val="18"/>
                <w:szCs w:val="18"/>
                <w:lang w:eastAsia="en-AU"/>
              </w:rPr>
              <w:t>D2 Financial Risk Disclosures</w:t>
            </w:r>
            <w:bookmarkEnd w:id="441"/>
            <w:bookmarkEnd w:id="442"/>
            <w:bookmarkEnd w:id="443"/>
          </w:p>
        </w:tc>
        <w:tc>
          <w:tcPr>
            <w:tcW w:w="1115" w:type="dxa"/>
            <w:shd w:val="clear" w:color="auto" w:fill="auto"/>
          </w:tcPr>
          <w:p w14:paraId="55BD5949" w14:textId="77777777" w:rsidR="0049143C" w:rsidRPr="00592257" w:rsidRDefault="0049143C">
            <w:pPr>
              <w:spacing w:before="60" w:after="0" w:line="300" w:lineRule="auto"/>
              <w:jc w:val="center"/>
              <w:outlineLvl w:val="0"/>
              <w:rPr>
                <w:rFonts w:eastAsia="SimSun" w:cs="Arial"/>
                <w:bCs/>
                <w:sz w:val="18"/>
                <w:szCs w:val="18"/>
                <w:lang w:eastAsia="en-AU"/>
              </w:rPr>
            </w:pPr>
            <w:bookmarkStart w:id="444" w:name="_Toc145672742"/>
            <w:bookmarkStart w:id="445" w:name="_Toc145673140"/>
            <w:bookmarkStart w:id="446" w:name="_Toc145926970"/>
            <w:r>
              <w:rPr>
                <w:rFonts w:eastAsia="SimSun" w:cs="Arial"/>
                <w:bCs/>
                <w:sz w:val="18"/>
                <w:szCs w:val="18"/>
                <w:lang w:eastAsia="en-AU"/>
              </w:rPr>
              <w:t>34</w:t>
            </w:r>
            <w:bookmarkEnd w:id="444"/>
            <w:bookmarkEnd w:id="445"/>
            <w:bookmarkEnd w:id="446"/>
          </w:p>
        </w:tc>
      </w:tr>
      <w:tr w:rsidR="0049143C" w:rsidRPr="00592257" w14:paraId="11CEF2CC" w14:textId="77777777" w:rsidTr="00E81C34">
        <w:tc>
          <w:tcPr>
            <w:tcW w:w="8523" w:type="dxa"/>
            <w:tcBorders>
              <w:bottom w:val="single" w:sz="4" w:space="0" w:color="auto"/>
            </w:tcBorders>
            <w:shd w:val="clear" w:color="auto" w:fill="auto"/>
          </w:tcPr>
          <w:p w14:paraId="0156B8DA" w14:textId="77777777" w:rsidR="0049143C" w:rsidRPr="00592257" w:rsidRDefault="0049143C">
            <w:pPr>
              <w:spacing w:before="60" w:after="0" w:line="300" w:lineRule="auto"/>
              <w:ind w:left="340"/>
              <w:outlineLvl w:val="0"/>
              <w:rPr>
                <w:rFonts w:eastAsia="SimSun" w:cs="Arial"/>
                <w:bCs/>
                <w:sz w:val="18"/>
                <w:szCs w:val="18"/>
                <w:lang w:eastAsia="en-AU"/>
              </w:rPr>
            </w:pPr>
            <w:bookmarkStart w:id="447" w:name="_Toc145672743"/>
            <w:bookmarkStart w:id="448" w:name="_Toc145673141"/>
            <w:bookmarkStart w:id="449" w:name="_Toc145926971"/>
            <w:r w:rsidRPr="00592257">
              <w:rPr>
                <w:rFonts w:eastAsia="SimSun" w:cs="Arial"/>
                <w:bCs/>
                <w:sz w:val="18"/>
                <w:szCs w:val="18"/>
                <w:lang w:eastAsia="en-AU"/>
              </w:rPr>
              <w:t>D3 Events After the Balance Date</w:t>
            </w:r>
            <w:bookmarkEnd w:id="447"/>
            <w:bookmarkEnd w:id="448"/>
            <w:bookmarkEnd w:id="449"/>
          </w:p>
        </w:tc>
        <w:tc>
          <w:tcPr>
            <w:tcW w:w="1115" w:type="dxa"/>
            <w:tcBorders>
              <w:bottom w:val="single" w:sz="4" w:space="0" w:color="auto"/>
            </w:tcBorders>
            <w:shd w:val="clear" w:color="auto" w:fill="auto"/>
          </w:tcPr>
          <w:p w14:paraId="76FE389E" w14:textId="1D939D07" w:rsidR="0049143C" w:rsidRPr="00592257" w:rsidRDefault="0049143C">
            <w:pPr>
              <w:spacing w:before="60" w:after="0" w:line="300" w:lineRule="auto"/>
              <w:jc w:val="center"/>
              <w:outlineLvl w:val="0"/>
              <w:rPr>
                <w:rFonts w:eastAsia="SimSun" w:cs="Arial"/>
                <w:bCs/>
                <w:sz w:val="18"/>
                <w:szCs w:val="18"/>
                <w:lang w:eastAsia="en-AU"/>
              </w:rPr>
            </w:pPr>
            <w:bookmarkStart w:id="450" w:name="_Toc145672744"/>
            <w:bookmarkStart w:id="451" w:name="_Toc145673142"/>
            <w:bookmarkStart w:id="452" w:name="_Toc145926972"/>
            <w:r>
              <w:rPr>
                <w:rFonts w:eastAsia="SimSun" w:cs="Arial"/>
                <w:bCs/>
                <w:sz w:val="18"/>
                <w:szCs w:val="18"/>
                <w:lang w:eastAsia="en-AU"/>
              </w:rPr>
              <w:t>3</w:t>
            </w:r>
            <w:r w:rsidR="002E0E7D">
              <w:rPr>
                <w:rFonts w:eastAsia="SimSun" w:cs="Arial"/>
                <w:bCs/>
                <w:sz w:val="18"/>
                <w:szCs w:val="18"/>
                <w:lang w:eastAsia="en-AU"/>
              </w:rPr>
              <w:t>5</w:t>
            </w:r>
            <w:bookmarkEnd w:id="450"/>
            <w:bookmarkEnd w:id="451"/>
            <w:bookmarkEnd w:id="452"/>
          </w:p>
        </w:tc>
      </w:tr>
      <w:tr w:rsidR="0049143C" w:rsidRPr="00592257" w14:paraId="5C0FB7E0" w14:textId="77777777" w:rsidTr="00E81C34">
        <w:tc>
          <w:tcPr>
            <w:tcW w:w="8523" w:type="dxa"/>
            <w:tcBorders>
              <w:top w:val="single" w:sz="4" w:space="0" w:color="auto"/>
            </w:tcBorders>
            <w:shd w:val="clear" w:color="auto" w:fill="auto"/>
          </w:tcPr>
          <w:p w14:paraId="4B45429E" w14:textId="77777777" w:rsidR="0049143C" w:rsidRPr="00592257" w:rsidRDefault="0049143C">
            <w:pPr>
              <w:spacing w:before="60" w:after="0" w:line="300" w:lineRule="auto"/>
              <w:ind w:left="340"/>
              <w:outlineLvl w:val="0"/>
              <w:rPr>
                <w:rFonts w:eastAsia="SimSun" w:cs="Arial"/>
                <w:bCs/>
                <w:sz w:val="18"/>
                <w:szCs w:val="18"/>
                <w:lang w:eastAsia="en-AU"/>
              </w:rPr>
            </w:pPr>
            <w:bookmarkStart w:id="453" w:name="_Toc145672745"/>
            <w:bookmarkStart w:id="454" w:name="_Toc145673143"/>
            <w:bookmarkStart w:id="455" w:name="_Toc145926973"/>
            <w:r w:rsidRPr="00592257">
              <w:rPr>
                <w:rFonts w:eastAsia="SimSun" w:cs="Arial"/>
                <w:bCs/>
                <w:i/>
                <w:sz w:val="18"/>
                <w:szCs w:val="18"/>
                <w:lang w:eastAsia="en-AU"/>
              </w:rPr>
              <w:t>Section E: Other Information</w:t>
            </w:r>
            <w:bookmarkEnd w:id="453"/>
            <w:bookmarkEnd w:id="454"/>
            <w:bookmarkEnd w:id="455"/>
          </w:p>
        </w:tc>
        <w:tc>
          <w:tcPr>
            <w:tcW w:w="1115" w:type="dxa"/>
            <w:tcBorders>
              <w:top w:val="single" w:sz="4" w:space="0" w:color="auto"/>
            </w:tcBorders>
            <w:shd w:val="clear" w:color="auto" w:fill="auto"/>
          </w:tcPr>
          <w:p w14:paraId="3B197E51" w14:textId="77777777" w:rsidR="0049143C" w:rsidRPr="00592257" w:rsidRDefault="0049143C">
            <w:pPr>
              <w:spacing w:before="60" w:after="0" w:line="300" w:lineRule="auto"/>
              <w:jc w:val="center"/>
              <w:outlineLvl w:val="0"/>
              <w:rPr>
                <w:rFonts w:eastAsia="SimSun" w:cs="Arial"/>
                <w:bCs/>
                <w:sz w:val="18"/>
                <w:szCs w:val="18"/>
                <w:lang w:eastAsia="en-AU"/>
              </w:rPr>
            </w:pPr>
          </w:p>
        </w:tc>
      </w:tr>
      <w:tr w:rsidR="0049143C" w:rsidRPr="00592257" w14:paraId="1EC58D1C" w14:textId="77777777" w:rsidTr="00E81C34">
        <w:tc>
          <w:tcPr>
            <w:tcW w:w="8523" w:type="dxa"/>
            <w:shd w:val="clear" w:color="auto" w:fill="auto"/>
          </w:tcPr>
          <w:p w14:paraId="620DED08" w14:textId="76D5EE3A" w:rsidR="0049143C" w:rsidRPr="00592257" w:rsidRDefault="0049143C">
            <w:pPr>
              <w:spacing w:before="60" w:after="0" w:line="300" w:lineRule="auto"/>
              <w:ind w:left="340"/>
              <w:outlineLvl w:val="0"/>
              <w:rPr>
                <w:rFonts w:eastAsia="SimSun" w:cs="Arial"/>
                <w:bCs/>
                <w:sz w:val="18"/>
                <w:szCs w:val="18"/>
                <w:lang w:eastAsia="en-AU"/>
              </w:rPr>
            </w:pPr>
            <w:bookmarkStart w:id="456" w:name="_Toc145672746"/>
            <w:bookmarkStart w:id="457" w:name="_Toc145673144"/>
            <w:bookmarkStart w:id="458" w:name="_Toc145926974"/>
            <w:r w:rsidRPr="00592257">
              <w:rPr>
                <w:rFonts w:eastAsia="SimSun" w:cs="Arial"/>
                <w:bCs/>
                <w:sz w:val="18"/>
                <w:szCs w:val="18"/>
                <w:lang w:eastAsia="en-AU"/>
              </w:rPr>
              <w:t>E1 Key Management Personnel</w:t>
            </w:r>
            <w:r w:rsidR="00CE7069">
              <w:rPr>
                <w:rFonts w:eastAsia="SimSun" w:cs="Arial"/>
                <w:bCs/>
                <w:sz w:val="18"/>
                <w:szCs w:val="18"/>
                <w:lang w:eastAsia="en-AU"/>
              </w:rPr>
              <w:t xml:space="preserve"> (KMP)</w:t>
            </w:r>
            <w:bookmarkEnd w:id="456"/>
            <w:bookmarkEnd w:id="457"/>
            <w:bookmarkEnd w:id="458"/>
          </w:p>
        </w:tc>
        <w:tc>
          <w:tcPr>
            <w:tcW w:w="1115" w:type="dxa"/>
            <w:shd w:val="clear" w:color="auto" w:fill="auto"/>
          </w:tcPr>
          <w:p w14:paraId="4B4B31E2" w14:textId="18A5E30E" w:rsidR="0049143C" w:rsidRPr="00592257" w:rsidRDefault="0049143C">
            <w:pPr>
              <w:spacing w:before="60" w:after="0" w:line="300" w:lineRule="auto"/>
              <w:jc w:val="center"/>
              <w:outlineLvl w:val="0"/>
              <w:rPr>
                <w:rFonts w:eastAsia="SimSun" w:cs="Arial"/>
                <w:bCs/>
                <w:sz w:val="18"/>
                <w:szCs w:val="18"/>
                <w:lang w:eastAsia="en-AU"/>
              </w:rPr>
            </w:pPr>
            <w:bookmarkStart w:id="459" w:name="_Toc145672747"/>
            <w:bookmarkStart w:id="460" w:name="_Toc145673145"/>
            <w:bookmarkStart w:id="461" w:name="_Toc145926975"/>
            <w:r>
              <w:rPr>
                <w:rFonts w:eastAsia="SimSun" w:cs="Arial"/>
                <w:bCs/>
                <w:sz w:val="18"/>
                <w:szCs w:val="18"/>
                <w:lang w:eastAsia="en-AU"/>
              </w:rPr>
              <w:t>3</w:t>
            </w:r>
            <w:r w:rsidR="00EB4CF4">
              <w:rPr>
                <w:rFonts w:eastAsia="SimSun" w:cs="Arial"/>
                <w:bCs/>
                <w:sz w:val="18"/>
                <w:szCs w:val="18"/>
                <w:lang w:eastAsia="en-AU"/>
              </w:rPr>
              <w:t>6</w:t>
            </w:r>
            <w:bookmarkEnd w:id="459"/>
            <w:bookmarkEnd w:id="460"/>
            <w:bookmarkEnd w:id="461"/>
          </w:p>
        </w:tc>
      </w:tr>
      <w:tr w:rsidR="0049143C" w:rsidRPr="00592257" w14:paraId="0606426A" w14:textId="77777777" w:rsidTr="00E81C34">
        <w:tc>
          <w:tcPr>
            <w:tcW w:w="8523" w:type="dxa"/>
            <w:shd w:val="clear" w:color="auto" w:fill="auto"/>
          </w:tcPr>
          <w:p w14:paraId="1BC33521" w14:textId="77777777" w:rsidR="0049143C" w:rsidRPr="00592257" w:rsidRDefault="0049143C">
            <w:pPr>
              <w:spacing w:before="60" w:after="0" w:line="300" w:lineRule="auto"/>
              <w:ind w:left="340"/>
              <w:outlineLvl w:val="0"/>
              <w:rPr>
                <w:rFonts w:eastAsia="SimSun" w:cs="Arial"/>
                <w:bCs/>
                <w:i/>
                <w:sz w:val="18"/>
                <w:szCs w:val="18"/>
                <w:lang w:eastAsia="en-AU"/>
              </w:rPr>
            </w:pPr>
            <w:bookmarkStart w:id="462" w:name="_Toc145672748"/>
            <w:bookmarkStart w:id="463" w:name="_Toc145673146"/>
            <w:bookmarkStart w:id="464" w:name="_Toc145926976"/>
            <w:r w:rsidRPr="00592257">
              <w:rPr>
                <w:rFonts w:eastAsia="SimSun" w:cs="Arial"/>
                <w:bCs/>
                <w:sz w:val="18"/>
                <w:szCs w:val="18"/>
                <w:lang w:eastAsia="en-AU"/>
              </w:rPr>
              <w:t>E2 Related Party Transactions</w:t>
            </w:r>
            <w:bookmarkEnd w:id="462"/>
            <w:bookmarkEnd w:id="463"/>
            <w:bookmarkEnd w:id="464"/>
          </w:p>
        </w:tc>
        <w:tc>
          <w:tcPr>
            <w:tcW w:w="1115" w:type="dxa"/>
            <w:shd w:val="clear" w:color="auto" w:fill="auto"/>
          </w:tcPr>
          <w:p w14:paraId="2AD9F12E" w14:textId="514D60BC" w:rsidR="0049143C" w:rsidRPr="00592257" w:rsidRDefault="0049143C">
            <w:pPr>
              <w:spacing w:before="60" w:after="0" w:line="300" w:lineRule="auto"/>
              <w:jc w:val="center"/>
              <w:outlineLvl w:val="0"/>
              <w:rPr>
                <w:rFonts w:eastAsia="SimSun" w:cs="Arial"/>
                <w:bCs/>
                <w:sz w:val="18"/>
                <w:szCs w:val="18"/>
                <w:lang w:eastAsia="en-AU"/>
              </w:rPr>
            </w:pPr>
            <w:bookmarkStart w:id="465" w:name="_Toc145672749"/>
            <w:bookmarkStart w:id="466" w:name="_Toc145673147"/>
            <w:bookmarkStart w:id="467" w:name="_Toc145926977"/>
            <w:r>
              <w:rPr>
                <w:rFonts w:eastAsia="SimSun" w:cs="Arial"/>
                <w:bCs/>
                <w:sz w:val="18"/>
                <w:szCs w:val="18"/>
                <w:lang w:eastAsia="en-AU"/>
              </w:rPr>
              <w:t>3</w:t>
            </w:r>
            <w:r w:rsidR="00EB4CF4">
              <w:rPr>
                <w:rFonts w:eastAsia="SimSun" w:cs="Arial"/>
                <w:bCs/>
                <w:sz w:val="18"/>
                <w:szCs w:val="18"/>
                <w:lang w:eastAsia="en-AU"/>
              </w:rPr>
              <w:t>8</w:t>
            </w:r>
            <w:bookmarkEnd w:id="465"/>
            <w:bookmarkEnd w:id="466"/>
            <w:bookmarkEnd w:id="467"/>
          </w:p>
        </w:tc>
      </w:tr>
      <w:tr w:rsidR="0049143C" w:rsidRPr="00592257" w14:paraId="2E2BA49E" w14:textId="77777777" w:rsidTr="00E81C34">
        <w:tc>
          <w:tcPr>
            <w:tcW w:w="8523" w:type="dxa"/>
            <w:shd w:val="clear" w:color="auto" w:fill="auto"/>
          </w:tcPr>
          <w:p w14:paraId="392E81AC" w14:textId="77777777" w:rsidR="0049143C" w:rsidRPr="00592257" w:rsidRDefault="0049143C">
            <w:pPr>
              <w:spacing w:before="60" w:after="0" w:line="300" w:lineRule="auto"/>
              <w:ind w:left="340"/>
              <w:outlineLvl w:val="0"/>
              <w:rPr>
                <w:rFonts w:eastAsia="SimSun" w:cs="Arial"/>
                <w:bCs/>
                <w:i/>
                <w:sz w:val="18"/>
                <w:szCs w:val="18"/>
                <w:lang w:eastAsia="en-AU"/>
              </w:rPr>
            </w:pPr>
            <w:bookmarkStart w:id="468" w:name="_Toc145672750"/>
            <w:bookmarkStart w:id="469" w:name="_Toc145673148"/>
            <w:bookmarkStart w:id="470" w:name="_Toc145926978"/>
            <w:r w:rsidRPr="00592257">
              <w:rPr>
                <w:rFonts w:eastAsia="SimSun" w:cs="Arial"/>
                <w:bCs/>
                <w:sz w:val="18"/>
                <w:szCs w:val="18"/>
                <w:lang w:eastAsia="en-AU"/>
              </w:rPr>
              <w:t>E3 New Accounting Standards or Change in Accounting Policy</w:t>
            </w:r>
            <w:bookmarkEnd w:id="468"/>
            <w:bookmarkEnd w:id="469"/>
            <w:bookmarkEnd w:id="470"/>
          </w:p>
        </w:tc>
        <w:tc>
          <w:tcPr>
            <w:tcW w:w="1115" w:type="dxa"/>
            <w:shd w:val="clear" w:color="auto" w:fill="auto"/>
          </w:tcPr>
          <w:p w14:paraId="483180EB" w14:textId="2615F789" w:rsidR="0049143C" w:rsidRPr="00592257" w:rsidRDefault="0049143C">
            <w:pPr>
              <w:spacing w:before="60" w:after="0" w:line="300" w:lineRule="auto"/>
              <w:jc w:val="center"/>
              <w:outlineLvl w:val="0"/>
              <w:rPr>
                <w:rFonts w:eastAsia="SimSun" w:cs="Arial"/>
                <w:bCs/>
                <w:sz w:val="18"/>
                <w:szCs w:val="18"/>
                <w:lang w:eastAsia="en-AU"/>
              </w:rPr>
            </w:pPr>
            <w:bookmarkStart w:id="471" w:name="_Toc145672751"/>
            <w:bookmarkStart w:id="472" w:name="_Toc145673149"/>
            <w:bookmarkStart w:id="473" w:name="_Toc145926979"/>
            <w:r>
              <w:rPr>
                <w:rFonts w:eastAsia="SimSun" w:cs="Arial"/>
                <w:bCs/>
                <w:sz w:val="18"/>
                <w:szCs w:val="18"/>
                <w:lang w:eastAsia="en-AU"/>
              </w:rPr>
              <w:t>3</w:t>
            </w:r>
            <w:r w:rsidR="00EB4CF4">
              <w:rPr>
                <w:rFonts w:eastAsia="SimSun" w:cs="Arial"/>
                <w:bCs/>
                <w:sz w:val="18"/>
                <w:szCs w:val="18"/>
                <w:lang w:eastAsia="en-AU"/>
              </w:rPr>
              <w:t>9</w:t>
            </w:r>
            <w:bookmarkEnd w:id="471"/>
            <w:bookmarkEnd w:id="472"/>
            <w:bookmarkEnd w:id="473"/>
          </w:p>
        </w:tc>
      </w:tr>
      <w:tr w:rsidR="0049143C" w:rsidRPr="00592257" w14:paraId="5430662C" w14:textId="77777777" w:rsidTr="00E81C34">
        <w:tc>
          <w:tcPr>
            <w:tcW w:w="8523" w:type="dxa"/>
            <w:shd w:val="clear" w:color="auto" w:fill="auto"/>
          </w:tcPr>
          <w:p w14:paraId="5B5714CB" w14:textId="77777777" w:rsidR="0049143C" w:rsidRPr="00592257" w:rsidRDefault="0049143C">
            <w:pPr>
              <w:spacing w:before="60" w:after="0" w:line="300" w:lineRule="auto"/>
              <w:ind w:left="340"/>
              <w:outlineLvl w:val="0"/>
              <w:rPr>
                <w:rFonts w:eastAsia="SimSun" w:cs="Arial"/>
                <w:bCs/>
                <w:sz w:val="18"/>
                <w:szCs w:val="18"/>
                <w:lang w:eastAsia="en-AU"/>
              </w:rPr>
            </w:pPr>
            <w:bookmarkStart w:id="474" w:name="_Toc145672752"/>
            <w:bookmarkStart w:id="475" w:name="_Toc145673150"/>
            <w:bookmarkStart w:id="476" w:name="_Toc145926980"/>
            <w:r w:rsidRPr="00592257">
              <w:rPr>
                <w:rFonts w:eastAsia="SimSun" w:cs="Arial"/>
                <w:bCs/>
                <w:sz w:val="18"/>
                <w:szCs w:val="18"/>
                <w:lang w:eastAsia="en-AU"/>
              </w:rPr>
              <w:t>E4 Taxation</w:t>
            </w:r>
            <w:bookmarkEnd w:id="474"/>
            <w:bookmarkEnd w:id="475"/>
            <w:bookmarkEnd w:id="476"/>
          </w:p>
        </w:tc>
        <w:tc>
          <w:tcPr>
            <w:tcW w:w="1115" w:type="dxa"/>
            <w:shd w:val="clear" w:color="auto" w:fill="auto"/>
          </w:tcPr>
          <w:p w14:paraId="36C58FF4" w14:textId="4E36AD08" w:rsidR="0049143C" w:rsidRPr="00592257" w:rsidRDefault="0049143C">
            <w:pPr>
              <w:spacing w:before="60" w:after="0" w:line="300" w:lineRule="auto"/>
              <w:jc w:val="center"/>
              <w:outlineLvl w:val="0"/>
              <w:rPr>
                <w:rFonts w:eastAsia="SimSun" w:cs="Arial"/>
                <w:bCs/>
                <w:sz w:val="18"/>
                <w:szCs w:val="18"/>
                <w:lang w:eastAsia="en-AU"/>
              </w:rPr>
            </w:pPr>
            <w:bookmarkStart w:id="477" w:name="_Toc145672753"/>
            <w:bookmarkStart w:id="478" w:name="_Toc145673151"/>
            <w:bookmarkStart w:id="479" w:name="_Toc145926981"/>
            <w:r>
              <w:rPr>
                <w:rFonts w:eastAsia="SimSun" w:cs="Arial"/>
                <w:bCs/>
                <w:sz w:val="18"/>
                <w:szCs w:val="18"/>
                <w:lang w:eastAsia="en-AU"/>
              </w:rPr>
              <w:t>3</w:t>
            </w:r>
            <w:r w:rsidR="00EB4CF4">
              <w:rPr>
                <w:rFonts w:eastAsia="SimSun" w:cs="Arial"/>
                <w:bCs/>
                <w:sz w:val="18"/>
                <w:szCs w:val="18"/>
                <w:lang w:eastAsia="en-AU"/>
              </w:rPr>
              <w:t>9</w:t>
            </w:r>
            <w:bookmarkEnd w:id="477"/>
            <w:bookmarkEnd w:id="478"/>
            <w:bookmarkEnd w:id="479"/>
          </w:p>
        </w:tc>
      </w:tr>
      <w:tr w:rsidR="0049143C" w:rsidRPr="00592257" w14:paraId="0ACE2B2E" w14:textId="77777777" w:rsidTr="00E81C34">
        <w:tc>
          <w:tcPr>
            <w:tcW w:w="8523" w:type="dxa"/>
            <w:tcBorders>
              <w:bottom w:val="single" w:sz="4" w:space="0" w:color="auto"/>
            </w:tcBorders>
            <w:shd w:val="clear" w:color="auto" w:fill="auto"/>
          </w:tcPr>
          <w:p w14:paraId="472EB3EB" w14:textId="18AEAE40" w:rsidR="0049143C" w:rsidRPr="00592257" w:rsidRDefault="0049143C">
            <w:pPr>
              <w:spacing w:before="60" w:after="0" w:line="300" w:lineRule="auto"/>
              <w:ind w:left="340"/>
              <w:outlineLvl w:val="0"/>
              <w:rPr>
                <w:rFonts w:eastAsia="SimSun" w:cs="Arial"/>
                <w:bCs/>
                <w:sz w:val="18"/>
                <w:szCs w:val="18"/>
                <w:lang w:eastAsia="en-AU"/>
              </w:rPr>
            </w:pPr>
            <w:bookmarkStart w:id="480" w:name="_Toc145672754"/>
            <w:bookmarkStart w:id="481" w:name="_Toc145673152"/>
            <w:bookmarkStart w:id="482" w:name="_Toc145926982"/>
            <w:r w:rsidRPr="00592257">
              <w:rPr>
                <w:rFonts w:eastAsia="SimSun" w:cs="Arial"/>
                <w:bCs/>
                <w:sz w:val="18"/>
                <w:szCs w:val="18"/>
                <w:lang w:eastAsia="en-AU"/>
              </w:rPr>
              <w:t>E</w:t>
            </w:r>
            <w:r w:rsidR="00CE7069">
              <w:rPr>
                <w:rFonts w:eastAsia="SimSun" w:cs="Arial"/>
                <w:bCs/>
                <w:sz w:val="18"/>
                <w:szCs w:val="18"/>
                <w:lang w:eastAsia="en-AU"/>
              </w:rPr>
              <w:t>5</w:t>
            </w:r>
            <w:r w:rsidRPr="00592257">
              <w:rPr>
                <w:rFonts w:eastAsia="SimSun" w:cs="Arial"/>
                <w:bCs/>
                <w:sz w:val="18"/>
                <w:szCs w:val="18"/>
                <w:lang w:eastAsia="en-AU"/>
              </w:rPr>
              <w:t xml:space="preserve"> Climate Risk Disclosure</w:t>
            </w:r>
            <w:bookmarkEnd w:id="480"/>
            <w:bookmarkEnd w:id="481"/>
            <w:bookmarkEnd w:id="482"/>
          </w:p>
        </w:tc>
        <w:tc>
          <w:tcPr>
            <w:tcW w:w="1115" w:type="dxa"/>
            <w:tcBorders>
              <w:bottom w:val="single" w:sz="4" w:space="0" w:color="auto"/>
            </w:tcBorders>
            <w:shd w:val="clear" w:color="auto" w:fill="auto"/>
          </w:tcPr>
          <w:p w14:paraId="65B92505" w14:textId="5DDAE493" w:rsidR="0049143C" w:rsidRPr="00592257" w:rsidRDefault="0049143C">
            <w:pPr>
              <w:spacing w:before="60" w:after="0" w:line="300" w:lineRule="auto"/>
              <w:jc w:val="center"/>
              <w:outlineLvl w:val="0"/>
              <w:rPr>
                <w:rFonts w:eastAsia="SimSun" w:cs="Arial"/>
                <w:bCs/>
                <w:sz w:val="18"/>
                <w:szCs w:val="18"/>
                <w:lang w:eastAsia="en-AU"/>
              </w:rPr>
            </w:pPr>
            <w:bookmarkStart w:id="483" w:name="_Toc145672755"/>
            <w:bookmarkStart w:id="484" w:name="_Toc145673153"/>
            <w:bookmarkStart w:id="485" w:name="_Toc145926983"/>
            <w:r>
              <w:rPr>
                <w:rFonts w:eastAsia="SimSun" w:cs="Arial"/>
                <w:bCs/>
                <w:sz w:val="18"/>
                <w:szCs w:val="18"/>
                <w:lang w:eastAsia="en-AU"/>
              </w:rPr>
              <w:t>3</w:t>
            </w:r>
            <w:r w:rsidR="00BD09D2">
              <w:rPr>
                <w:rFonts w:eastAsia="SimSun" w:cs="Arial"/>
                <w:bCs/>
                <w:sz w:val="18"/>
                <w:szCs w:val="18"/>
                <w:lang w:eastAsia="en-AU"/>
              </w:rPr>
              <w:t>9</w:t>
            </w:r>
            <w:bookmarkEnd w:id="483"/>
            <w:bookmarkEnd w:id="484"/>
            <w:bookmarkEnd w:id="485"/>
          </w:p>
        </w:tc>
      </w:tr>
      <w:tr w:rsidR="0049143C" w:rsidRPr="00592257" w14:paraId="445EA8E2" w14:textId="77777777" w:rsidTr="00E81C34">
        <w:tc>
          <w:tcPr>
            <w:tcW w:w="8523" w:type="dxa"/>
            <w:tcBorders>
              <w:top w:val="single" w:sz="4" w:space="0" w:color="auto"/>
            </w:tcBorders>
            <w:shd w:val="clear" w:color="auto" w:fill="auto"/>
          </w:tcPr>
          <w:p w14:paraId="225B2894" w14:textId="77777777" w:rsidR="0049143C" w:rsidRPr="00592257" w:rsidRDefault="0049143C">
            <w:pPr>
              <w:spacing w:before="60" w:after="0" w:line="300" w:lineRule="auto"/>
              <w:outlineLvl w:val="0"/>
              <w:rPr>
                <w:rFonts w:eastAsia="SimSun" w:cs="Arial"/>
                <w:sz w:val="18"/>
                <w:szCs w:val="18"/>
                <w:lang w:eastAsia="en-AU"/>
              </w:rPr>
            </w:pPr>
            <w:bookmarkStart w:id="486" w:name="_Toc145672756"/>
            <w:bookmarkStart w:id="487" w:name="_Toc145673154"/>
            <w:bookmarkStart w:id="488" w:name="_Toc145926984"/>
            <w:r w:rsidRPr="00592257">
              <w:rPr>
                <w:rFonts w:eastAsia="SimSun" w:cs="Arial"/>
                <w:sz w:val="18"/>
                <w:szCs w:val="18"/>
                <w:lang w:eastAsia="en-AU"/>
              </w:rPr>
              <w:t>Management Certificate</w:t>
            </w:r>
            <w:bookmarkEnd w:id="486"/>
            <w:bookmarkEnd w:id="487"/>
            <w:bookmarkEnd w:id="488"/>
          </w:p>
        </w:tc>
        <w:tc>
          <w:tcPr>
            <w:tcW w:w="1115" w:type="dxa"/>
            <w:tcBorders>
              <w:top w:val="single" w:sz="4" w:space="0" w:color="auto"/>
            </w:tcBorders>
            <w:shd w:val="clear" w:color="auto" w:fill="auto"/>
          </w:tcPr>
          <w:p w14:paraId="1E307755" w14:textId="6062D035" w:rsidR="0049143C" w:rsidRPr="00592257" w:rsidRDefault="002A7B8B">
            <w:pPr>
              <w:spacing w:before="60" w:after="0" w:line="300" w:lineRule="auto"/>
              <w:jc w:val="center"/>
              <w:outlineLvl w:val="0"/>
              <w:rPr>
                <w:rFonts w:eastAsia="SimSun" w:cs="Arial"/>
                <w:bCs/>
                <w:sz w:val="18"/>
                <w:szCs w:val="18"/>
                <w:lang w:eastAsia="en-AU"/>
              </w:rPr>
            </w:pPr>
            <w:bookmarkStart w:id="489" w:name="_Toc145672757"/>
            <w:bookmarkStart w:id="490" w:name="_Toc145673155"/>
            <w:bookmarkStart w:id="491" w:name="_Toc145926985"/>
            <w:r>
              <w:rPr>
                <w:rFonts w:eastAsia="SimSun" w:cs="Arial"/>
                <w:bCs/>
                <w:sz w:val="18"/>
                <w:szCs w:val="18"/>
                <w:lang w:eastAsia="en-AU"/>
              </w:rPr>
              <w:t>40</w:t>
            </w:r>
            <w:bookmarkEnd w:id="489"/>
            <w:bookmarkEnd w:id="490"/>
            <w:bookmarkEnd w:id="491"/>
          </w:p>
        </w:tc>
      </w:tr>
      <w:tr w:rsidR="0049143C" w:rsidRPr="00592257" w14:paraId="351055B0" w14:textId="77777777" w:rsidTr="00E81C34">
        <w:tc>
          <w:tcPr>
            <w:tcW w:w="8523" w:type="dxa"/>
            <w:shd w:val="clear" w:color="auto" w:fill="auto"/>
          </w:tcPr>
          <w:p w14:paraId="7E81B7FF" w14:textId="77777777" w:rsidR="0049143C" w:rsidRPr="00592257" w:rsidRDefault="0049143C">
            <w:pPr>
              <w:spacing w:before="60" w:after="0" w:line="300" w:lineRule="auto"/>
              <w:outlineLvl w:val="0"/>
              <w:rPr>
                <w:rFonts w:eastAsia="SimSun" w:cs="Arial"/>
                <w:bCs/>
                <w:sz w:val="18"/>
                <w:szCs w:val="18"/>
                <w:lang w:eastAsia="en-AU"/>
              </w:rPr>
            </w:pPr>
            <w:bookmarkStart w:id="492" w:name="_Toc145672758"/>
            <w:bookmarkStart w:id="493" w:name="_Toc145673156"/>
            <w:bookmarkStart w:id="494" w:name="_Toc145926986"/>
            <w:r w:rsidRPr="00592257">
              <w:rPr>
                <w:rFonts w:eastAsia="SimSun" w:cs="Arial"/>
                <w:sz w:val="18"/>
                <w:szCs w:val="18"/>
                <w:lang w:eastAsia="en-AU"/>
              </w:rPr>
              <w:t>Independent Auditor’s Report</w:t>
            </w:r>
            <w:bookmarkEnd w:id="492"/>
            <w:bookmarkEnd w:id="493"/>
            <w:bookmarkEnd w:id="494"/>
          </w:p>
        </w:tc>
        <w:tc>
          <w:tcPr>
            <w:tcW w:w="1115" w:type="dxa"/>
            <w:shd w:val="clear" w:color="auto" w:fill="auto"/>
          </w:tcPr>
          <w:p w14:paraId="517C9FEE" w14:textId="4C794585" w:rsidR="0049143C" w:rsidRPr="00592257" w:rsidRDefault="000E412C">
            <w:pPr>
              <w:spacing w:before="60" w:after="0" w:line="300" w:lineRule="auto"/>
              <w:jc w:val="center"/>
              <w:outlineLvl w:val="0"/>
              <w:rPr>
                <w:rFonts w:eastAsia="SimSun" w:cs="Arial"/>
                <w:bCs/>
                <w:sz w:val="18"/>
                <w:szCs w:val="18"/>
                <w:lang w:eastAsia="en-AU"/>
              </w:rPr>
            </w:pPr>
            <w:bookmarkStart w:id="495" w:name="_Toc145672759"/>
            <w:bookmarkStart w:id="496" w:name="_Toc145673157"/>
            <w:bookmarkStart w:id="497" w:name="_Toc145926987"/>
            <w:r>
              <w:rPr>
                <w:rFonts w:eastAsia="SimSun" w:cs="Arial"/>
                <w:bCs/>
                <w:sz w:val="18"/>
                <w:szCs w:val="18"/>
                <w:lang w:eastAsia="en-AU"/>
              </w:rPr>
              <w:t>4</w:t>
            </w:r>
            <w:r w:rsidR="00784A62">
              <w:rPr>
                <w:rFonts w:eastAsia="SimSun" w:cs="Arial"/>
                <w:bCs/>
                <w:sz w:val="18"/>
                <w:szCs w:val="18"/>
                <w:lang w:eastAsia="en-AU"/>
              </w:rPr>
              <w:t>2</w:t>
            </w:r>
            <w:bookmarkEnd w:id="495"/>
            <w:bookmarkEnd w:id="496"/>
            <w:bookmarkEnd w:id="497"/>
          </w:p>
        </w:tc>
      </w:tr>
      <w:tr w:rsidR="0049143C" w:rsidRPr="00592257" w14:paraId="70E5EF08" w14:textId="77777777" w:rsidTr="00E81C34">
        <w:tc>
          <w:tcPr>
            <w:tcW w:w="8523" w:type="dxa"/>
            <w:shd w:val="clear" w:color="auto" w:fill="auto"/>
          </w:tcPr>
          <w:p w14:paraId="4EB40DD0" w14:textId="77777777" w:rsidR="0049143C" w:rsidRPr="00592257" w:rsidRDefault="0049143C">
            <w:pPr>
              <w:spacing w:before="60" w:after="0" w:line="300" w:lineRule="auto"/>
              <w:outlineLvl w:val="0"/>
              <w:rPr>
                <w:rFonts w:eastAsia="SimSun" w:cs="Arial"/>
                <w:sz w:val="18"/>
                <w:szCs w:val="18"/>
                <w:lang w:eastAsia="en-AU"/>
              </w:rPr>
            </w:pPr>
          </w:p>
        </w:tc>
        <w:tc>
          <w:tcPr>
            <w:tcW w:w="1115" w:type="dxa"/>
            <w:shd w:val="clear" w:color="auto" w:fill="auto"/>
          </w:tcPr>
          <w:p w14:paraId="6C82CC56" w14:textId="77777777" w:rsidR="0049143C" w:rsidRPr="00592257" w:rsidRDefault="0049143C">
            <w:pPr>
              <w:spacing w:before="60" w:after="0" w:line="300" w:lineRule="auto"/>
              <w:jc w:val="center"/>
              <w:outlineLvl w:val="0"/>
              <w:rPr>
                <w:rFonts w:eastAsia="SimSun" w:cs="Arial"/>
                <w:bCs/>
                <w:sz w:val="18"/>
                <w:szCs w:val="18"/>
                <w:lang w:eastAsia="en-AU"/>
              </w:rPr>
            </w:pPr>
          </w:p>
        </w:tc>
      </w:tr>
    </w:tbl>
    <w:p w14:paraId="231A29D0" w14:textId="77777777" w:rsidR="00A64654" w:rsidRDefault="00A64654"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1ED55BD5"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3CE8A9EC"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536D77A0"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08A3B790"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3D4D0B5D"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047C612E" w14:textId="77777777" w:rsidR="00715572" w:rsidRDefault="00715572"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26D3A278" w14:textId="77777777" w:rsidR="00BF447E" w:rsidRDefault="00BF447E" w:rsidP="00592257">
      <w:pPr>
        <w:tabs>
          <w:tab w:val="left" w:pos="0"/>
          <w:tab w:val="left" w:pos="720"/>
        </w:tabs>
        <w:autoSpaceDE w:val="0"/>
        <w:autoSpaceDN w:val="0"/>
        <w:adjustRightInd w:val="0"/>
        <w:spacing w:after="0" w:line="240" w:lineRule="auto"/>
        <w:rPr>
          <w:rFonts w:ascii="ArialMT" w:eastAsia="SimSun" w:hAnsi="ArialMT" w:cs="ArialMT"/>
          <w:sz w:val="24"/>
          <w:szCs w:val="24"/>
          <w:highlight w:val="cyan"/>
          <w:lang w:eastAsia="en-AU"/>
        </w:rPr>
      </w:pPr>
    </w:p>
    <w:p w14:paraId="1F5D21E6" w14:textId="42C69B49" w:rsidR="00BF447E" w:rsidRPr="001109A9" w:rsidRDefault="0056177B" w:rsidP="001109A9">
      <w:pPr>
        <w:pStyle w:val="PSCHeading2"/>
      </w:pPr>
      <w:bookmarkStart w:id="498" w:name="_Toc145672760"/>
      <w:bookmarkStart w:id="499" w:name="_Toc145673158"/>
      <w:bookmarkStart w:id="500" w:name="_Toc145926988"/>
      <w:r w:rsidRPr="00A0556E">
        <w:lastRenderedPageBreak/>
        <w:t>Statement of Comprehensive Income</w:t>
      </w:r>
      <w:bookmarkEnd w:id="498"/>
      <w:bookmarkEnd w:id="499"/>
      <w:bookmarkEnd w:id="500"/>
    </w:p>
    <w:p w14:paraId="588098A9" w14:textId="4DBA704A" w:rsidR="009E403A" w:rsidRDefault="003B4964" w:rsidP="00592257">
      <w:pPr>
        <w:tabs>
          <w:tab w:val="left" w:pos="0"/>
          <w:tab w:val="left" w:pos="720"/>
        </w:tabs>
        <w:autoSpaceDE w:val="0"/>
        <w:autoSpaceDN w:val="0"/>
        <w:adjustRightInd w:val="0"/>
        <w:spacing w:after="0" w:line="240" w:lineRule="auto"/>
      </w:pPr>
      <w:r>
        <w:pict w14:anchorId="4EE7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showing statement of comprehensive income." style="width:482.25pt;height:393.4pt;mso-position-horizontal:center;mso-position-vertical:center">
            <v:imagedata r:id="rId39" o:title=""/>
          </v:shape>
        </w:pict>
      </w:r>
    </w:p>
    <w:p w14:paraId="7206618F" w14:textId="4F9E3E2B" w:rsidR="001E2CD3" w:rsidRPr="0048243C" w:rsidRDefault="006611A2" w:rsidP="00E81C34">
      <w:pPr>
        <w:tabs>
          <w:tab w:val="left" w:pos="0"/>
        </w:tabs>
        <w:autoSpaceDE w:val="0"/>
        <w:autoSpaceDN w:val="0"/>
        <w:adjustRightInd w:val="0"/>
        <w:spacing w:line="360" w:lineRule="auto"/>
        <w:rPr>
          <w:rFonts w:cs="Arial"/>
          <w:b/>
          <w:sz w:val="16"/>
          <w:szCs w:val="16"/>
        </w:rPr>
      </w:pPr>
      <w:r>
        <w:rPr>
          <w:rFonts w:cs="Arial"/>
          <w:b/>
          <w:sz w:val="16"/>
          <w:szCs w:val="16"/>
        </w:rPr>
        <w:br/>
      </w:r>
      <w:r w:rsidR="001E2CD3" w:rsidRPr="00196AAA">
        <w:rPr>
          <w:rFonts w:cs="Arial"/>
          <w:b/>
          <w:sz w:val="16"/>
          <w:szCs w:val="16"/>
        </w:rPr>
        <w:t>Explanation of major budget variances</w:t>
      </w:r>
    </w:p>
    <w:p w14:paraId="79D992B9" w14:textId="77777777" w:rsidR="001E2CD3" w:rsidRDefault="001E2CD3" w:rsidP="006C09B5">
      <w:pPr>
        <w:tabs>
          <w:tab w:val="left" w:pos="0"/>
          <w:tab w:val="left" w:pos="993"/>
          <w:tab w:val="left" w:pos="1134"/>
          <w:tab w:val="left" w:pos="1418"/>
        </w:tabs>
        <w:autoSpaceDE w:val="0"/>
        <w:autoSpaceDN w:val="0"/>
        <w:adjustRightInd w:val="0"/>
        <w:spacing w:after="0" w:line="360" w:lineRule="auto"/>
        <w:ind w:left="426" w:hanging="284"/>
        <w:rPr>
          <w:rFonts w:cs="Arial"/>
          <w:sz w:val="16"/>
          <w:szCs w:val="16"/>
        </w:rPr>
      </w:pPr>
      <w:r w:rsidRPr="006A47A2">
        <w:rPr>
          <w:rFonts w:cs="Arial"/>
          <w:sz w:val="16"/>
          <w:szCs w:val="16"/>
        </w:rPr>
        <w:t xml:space="preserve">1. </w:t>
      </w:r>
      <w:r>
        <w:rPr>
          <w:rFonts w:cs="Arial"/>
          <w:sz w:val="16"/>
          <w:szCs w:val="16"/>
        </w:rPr>
        <w:tab/>
      </w:r>
      <w:r w:rsidRPr="006A47A2">
        <w:rPr>
          <w:rFonts w:cs="Arial"/>
          <w:sz w:val="16"/>
          <w:szCs w:val="16"/>
        </w:rPr>
        <w:t xml:space="preserve">The </w:t>
      </w:r>
      <w:r>
        <w:rPr>
          <w:rFonts w:cs="Arial"/>
          <w:sz w:val="16"/>
          <w:szCs w:val="16"/>
        </w:rPr>
        <w:t>decrease</w:t>
      </w:r>
      <w:r w:rsidRPr="006A47A2">
        <w:rPr>
          <w:rFonts w:cs="Arial"/>
          <w:sz w:val="16"/>
          <w:szCs w:val="16"/>
        </w:rPr>
        <w:t xml:space="preserve"> is due to lower than budget</w:t>
      </w:r>
      <w:r>
        <w:rPr>
          <w:rFonts w:cs="Arial"/>
          <w:sz w:val="16"/>
          <w:szCs w:val="16"/>
        </w:rPr>
        <w:t>ed</w:t>
      </w:r>
      <w:r w:rsidRPr="006A47A2">
        <w:rPr>
          <w:rFonts w:cs="Arial"/>
          <w:sz w:val="16"/>
          <w:szCs w:val="16"/>
        </w:rPr>
        <w:t xml:space="preserve"> contract management fees for capability development programs.</w:t>
      </w:r>
    </w:p>
    <w:p w14:paraId="2ADEB314" w14:textId="77777777" w:rsidR="001E2CD3" w:rsidRPr="00196AAA" w:rsidRDefault="001E2CD3" w:rsidP="006C09B5">
      <w:pPr>
        <w:tabs>
          <w:tab w:val="left" w:pos="0"/>
          <w:tab w:val="left" w:pos="1134"/>
          <w:tab w:val="left" w:pos="1418"/>
        </w:tabs>
        <w:autoSpaceDE w:val="0"/>
        <w:autoSpaceDN w:val="0"/>
        <w:adjustRightInd w:val="0"/>
        <w:spacing w:after="0" w:line="360" w:lineRule="auto"/>
        <w:ind w:left="426" w:hanging="284"/>
        <w:rPr>
          <w:rFonts w:cs="Arial"/>
          <w:sz w:val="16"/>
          <w:szCs w:val="16"/>
        </w:rPr>
      </w:pPr>
      <w:r w:rsidRPr="006A47A2">
        <w:rPr>
          <w:rFonts w:cs="Arial"/>
          <w:sz w:val="16"/>
          <w:szCs w:val="16"/>
        </w:rPr>
        <w:t xml:space="preserve">2. </w:t>
      </w:r>
      <w:r>
        <w:rPr>
          <w:rFonts w:cs="Arial"/>
          <w:sz w:val="16"/>
          <w:szCs w:val="16"/>
        </w:rPr>
        <w:tab/>
      </w:r>
      <w:r w:rsidRPr="00D22C56">
        <w:rPr>
          <w:rFonts w:cs="Arial"/>
          <w:sz w:val="16"/>
          <w:szCs w:val="16"/>
        </w:rPr>
        <w:t xml:space="preserve">The </w:t>
      </w:r>
      <w:r>
        <w:rPr>
          <w:rFonts w:cs="Arial"/>
          <w:sz w:val="16"/>
          <w:szCs w:val="16"/>
        </w:rPr>
        <w:t>increase</w:t>
      </w:r>
      <w:r w:rsidRPr="00D22C56">
        <w:rPr>
          <w:rFonts w:cs="Arial"/>
          <w:sz w:val="16"/>
          <w:szCs w:val="16"/>
        </w:rPr>
        <w:t xml:space="preserve"> is due to </w:t>
      </w:r>
      <w:r>
        <w:rPr>
          <w:rFonts w:cs="Arial"/>
          <w:sz w:val="16"/>
          <w:szCs w:val="16"/>
        </w:rPr>
        <w:t xml:space="preserve">additional </w:t>
      </w:r>
      <w:r w:rsidRPr="00D22C56">
        <w:rPr>
          <w:rFonts w:cs="Arial"/>
          <w:sz w:val="16"/>
          <w:szCs w:val="16"/>
        </w:rPr>
        <w:t>contributions received from other government departments for the Working for Queensland survey ($0.178M) along with services received free of charge for staff seconded from other departments ($0.315M) and archiving costs ($0.027M) that were unable to be quantified during the budget preparation.</w:t>
      </w:r>
    </w:p>
    <w:p w14:paraId="3C88C116" w14:textId="77777777" w:rsidR="001E2CD3" w:rsidRPr="006A47A2" w:rsidRDefault="001E2CD3" w:rsidP="006C09B5">
      <w:pPr>
        <w:tabs>
          <w:tab w:val="left" w:pos="993"/>
          <w:tab w:val="left" w:pos="1134"/>
          <w:tab w:val="left" w:pos="1418"/>
        </w:tabs>
        <w:autoSpaceDE w:val="0"/>
        <w:autoSpaceDN w:val="0"/>
        <w:adjustRightInd w:val="0"/>
        <w:spacing w:after="0" w:line="360" w:lineRule="auto"/>
        <w:ind w:left="426" w:hanging="284"/>
        <w:rPr>
          <w:rFonts w:cs="Arial"/>
          <w:sz w:val="16"/>
          <w:szCs w:val="16"/>
        </w:rPr>
      </w:pPr>
      <w:r w:rsidRPr="006A47A2">
        <w:rPr>
          <w:rFonts w:cs="Arial"/>
          <w:sz w:val="16"/>
          <w:szCs w:val="16"/>
        </w:rPr>
        <w:t>3.</w:t>
      </w:r>
      <w:r>
        <w:rPr>
          <w:rFonts w:cs="Arial"/>
          <w:sz w:val="16"/>
          <w:szCs w:val="16"/>
        </w:rPr>
        <w:tab/>
      </w:r>
      <w:r w:rsidRPr="00D22C56">
        <w:rPr>
          <w:rFonts w:cs="Arial"/>
          <w:sz w:val="16"/>
          <w:szCs w:val="16"/>
        </w:rPr>
        <w:t xml:space="preserve">The </w:t>
      </w:r>
      <w:r>
        <w:rPr>
          <w:rFonts w:cs="Arial"/>
          <w:sz w:val="16"/>
          <w:szCs w:val="16"/>
        </w:rPr>
        <w:t>increase</w:t>
      </w:r>
      <w:r w:rsidRPr="00D22C56">
        <w:rPr>
          <w:rFonts w:cs="Arial"/>
          <w:sz w:val="16"/>
          <w:szCs w:val="16"/>
        </w:rPr>
        <w:t xml:space="preserve"> is primarily due to cost recoveries of Director-General recruitment processes and appointments ($0.132M)</w:t>
      </w:r>
      <w:r>
        <w:rPr>
          <w:rFonts w:cs="Arial"/>
          <w:sz w:val="16"/>
          <w:szCs w:val="16"/>
        </w:rPr>
        <w:t xml:space="preserve"> and</w:t>
      </w:r>
      <w:r w:rsidRPr="00D22C56">
        <w:rPr>
          <w:rFonts w:cs="Arial"/>
          <w:sz w:val="16"/>
          <w:szCs w:val="16"/>
        </w:rPr>
        <w:t xml:space="preserve"> reimbursement for investigations and other services on behalf of government ($0.016M) that were unable to be quantified during the budget preparation.</w:t>
      </w:r>
    </w:p>
    <w:p w14:paraId="65643305" w14:textId="7D383193" w:rsidR="000819B4" w:rsidRDefault="001E2CD3" w:rsidP="006C09B5">
      <w:pPr>
        <w:tabs>
          <w:tab w:val="left" w:pos="993"/>
          <w:tab w:val="left" w:pos="1134"/>
          <w:tab w:val="left" w:pos="1418"/>
        </w:tabs>
        <w:autoSpaceDE w:val="0"/>
        <w:autoSpaceDN w:val="0"/>
        <w:adjustRightInd w:val="0"/>
        <w:spacing w:after="0" w:line="360" w:lineRule="auto"/>
        <w:ind w:left="426" w:hanging="284"/>
        <w:rPr>
          <w:rFonts w:cs="Arial"/>
          <w:sz w:val="16"/>
          <w:szCs w:val="16"/>
        </w:rPr>
      </w:pPr>
      <w:r w:rsidRPr="006A47A2">
        <w:rPr>
          <w:rFonts w:cs="Arial"/>
          <w:sz w:val="16"/>
          <w:szCs w:val="16"/>
        </w:rPr>
        <w:t xml:space="preserve">4. </w:t>
      </w:r>
      <w:r>
        <w:rPr>
          <w:rFonts w:cs="Arial"/>
          <w:sz w:val="16"/>
          <w:szCs w:val="16"/>
        </w:rPr>
        <w:tab/>
      </w:r>
      <w:r w:rsidRPr="006A47A2">
        <w:rPr>
          <w:rFonts w:cs="Arial"/>
          <w:sz w:val="16"/>
          <w:szCs w:val="16"/>
        </w:rPr>
        <w:t xml:space="preserve">The </w:t>
      </w:r>
      <w:r>
        <w:rPr>
          <w:rFonts w:cs="Arial"/>
          <w:sz w:val="16"/>
          <w:szCs w:val="16"/>
        </w:rPr>
        <w:t>increase</w:t>
      </w:r>
      <w:r w:rsidRPr="006A47A2">
        <w:rPr>
          <w:rFonts w:cs="Arial"/>
          <w:sz w:val="16"/>
          <w:szCs w:val="16"/>
        </w:rPr>
        <w:t xml:space="preserve"> is largely due to an additional contribution to ANZSOG for a research model project ($0.020M).</w:t>
      </w:r>
    </w:p>
    <w:p w14:paraId="6FD2CCF6" w14:textId="77777777" w:rsidR="000819B4" w:rsidRDefault="000819B4">
      <w:pPr>
        <w:rPr>
          <w:rFonts w:cs="Arial"/>
          <w:sz w:val="16"/>
          <w:szCs w:val="16"/>
        </w:rPr>
      </w:pPr>
      <w:r>
        <w:rPr>
          <w:rFonts w:cs="Arial"/>
          <w:sz w:val="16"/>
          <w:szCs w:val="16"/>
        </w:rPr>
        <w:br w:type="page"/>
      </w:r>
    </w:p>
    <w:p w14:paraId="5AD2C518" w14:textId="4222A539" w:rsidR="00973DBB" w:rsidRPr="0056356D" w:rsidRDefault="000819B4" w:rsidP="00746BEC">
      <w:pPr>
        <w:pStyle w:val="PSCHeading2"/>
        <w:rPr>
          <w:rFonts w:cs="Arial"/>
          <w:sz w:val="16"/>
          <w:szCs w:val="16"/>
        </w:rPr>
      </w:pPr>
      <w:bookmarkStart w:id="501" w:name="_Toc145672761"/>
      <w:bookmarkStart w:id="502" w:name="_Toc145673159"/>
      <w:bookmarkStart w:id="503" w:name="_Toc145926989"/>
      <w:r w:rsidRPr="00837AA0">
        <w:lastRenderedPageBreak/>
        <w:t>Statement of Financial Position</w:t>
      </w:r>
      <w:r w:rsidR="003B4964">
        <w:rPr>
          <w:rFonts w:cs="Arial"/>
          <w:szCs w:val="20"/>
          <w:lang w:eastAsia="zh-CN"/>
        </w:rPr>
        <w:pict w14:anchorId="556499F3">
          <v:shape id="_x0000_i1026" type="#_x0000_t75" alt="Table showing statement of financial position." style="width:482.25pt;height:469.5pt;mso-position-horizontal:center">
            <v:imagedata r:id="rId40" o:title=""/>
          </v:shape>
        </w:pict>
      </w:r>
      <w:r w:rsidR="0056356D">
        <w:rPr>
          <w:rFonts w:cs="Arial"/>
          <w:szCs w:val="20"/>
          <w:lang w:eastAsia="zh-CN"/>
        </w:rPr>
        <w:br/>
      </w:r>
      <w:r w:rsidR="0056356D">
        <w:rPr>
          <w:rFonts w:cs="Arial"/>
          <w:szCs w:val="20"/>
          <w:lang w:eastAsia="zh-CN"/>
        </w:rPr>
        <w:br/>
      </w:r>
      <w:r w:rsidR="00973DBB" w:rsidRPr="00196AAA">
        <w:rPr>
          <w:rFonts w:cs="Arial"/>
          <w:b/>
          <w:sz w:val="16"/>
          <w:szCs w:val="16"/>
        </w:rPr>
        <w:t>Explanation of major budget variances</w:t>
      </w:r>
      <w:bookmarkEnd w:id="501"/>
      <w:bookmarkEnd w:id="502"/>
      <w:bookmarkEnd w:id="503"/>
    </w:p>
    <w:p w14:paraId="62E01397" w14:textId="77777777"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5.</w:t>
      </w:r>
      <w:r>
        <w:rPr>
          <w:rFonts w:cs="Arial"/>
          <w:bCs/>
          <w:color w:val="000000"/>
          <w:sz w:val="16"/>
          <w:szCs w:val="16"/>
        </w:rPr>
        <w:tab/>
      </w:r>
      <w:r w:rsidRPr="0052143A">
        <w:rPr>
          <w:rFonts w:cs="Arial"/>
          <w:bCs/>
          <w:color w:val="000000"/>
          <w:sz w:val="16"/>
          <w:szCs w:val="16"/>
        </w:rPr>
        <w:t>For variance explanation, refer to Budget to Actual comparison in the Statement of Cash Flow on page 5.</w:t>
      </w:r>
    </w:p>
    <w:p w14:paraId="495C7AF2" w14:textId="77777777"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 xml:space="preserve">6. </w:t>
      </w:r>
      <w:r>
        <w:rPr>
          <w:rFonts w:cs="Arial"/>
          <w:bCs/>
          <w:color w:val="000000"/>
          <w:sz w:val="16"/>
          <w:szCs w:val="16"/>
        </w:rPr>
        <w:tab/>
      </w:r>
      <w:r w:rsidRPr="00D22C56">
        <w:rPr>
          <w:rFonts w:cs="Arial"/>
          <w:bCs/>
          <w:color w:val="000000"/>
          <w:sz w:val="16"/>
          <w:szCs w:val="16"/>
        </w:rPr>
        <w:t xml:space="preserve">The </w:t>
      </w:r>
      <w:r>
        <w:rPr>
          <w:rFonts w:cs="Arial"/>
          <w:bCs/>
          <w:color w:val="000000"/>
          <w:sz w:val="16"/>
          <w:szCs w:val="16"/>
        </w:rPr>
        <w:t>decrease</w:t>
      </w:r>
      <w:r w:rsidRPr="00D22C56">
        <w:rPr>
          <w:rFonts w:cs="Arial"/>
          <w:bCs/>
          <w:color w:val="000000"/>
          <w:sz w:val="16"/>
          <w:szCs w:val="16"/>
        </w:rPr>
        <w:t xml:space="preserve"> is primarily due to the lower than budgeted trade debtors at year end ($0.414M)</w:t>
      </w:r>
      <w:r>
        <w:rPr>
          <w:rFonts w:cs="Arial"/>
          <w:bCs/>
          <w:color w:val="000000"/>
          <w:sz w:val="16"/>
          <w:szCs w:val="16"/>
        </w:rPr>
        <w:t xml:space="preserve"> and offset by</w:t>
      </w:r>
      <w:r w:rsidRPr="00D22C56">
        <w:rPr>
          <w:rFonts w:cs="Arial"/>
          <w:bCs/>
          <w:color w:val="000000"/>
          <w:sz w:val="16"/>
          <w:szCs w:val="16"/>
        </w:rPr>
        <w:t xml:space="preserve"> higher than anticipated annual leave ($0.068M) and long service leave ($0.093M) receivables and GST receivable ($0.043M) than identified in budget estimates along with an equity injection receivable ($0.078M) relating to the </w:t>
      </w:r>
      <w:r>
        <w:rPr>
          <w:rFonts w:cs="Arial"/>
          <w:bCs/>
          <w:color w:val="000000"/>
          <w:sz w:val="16"/>
          <w:szCs w:val="16"/>
        </w:rPr>
        <w:t xml:space="preserve">Queensland </w:t>
      </w:r>
      <w:r w:rsidRPr="00D22C56">
        <w:rPr>
          <w:rFonts w:cs="Arial"/>
          <w:bCs/>
          <w:color w:val="000000"/>
          <w:sz w:val="16"/>
          <w:szCs w:val="16"/>
        </w:rPr>
        <w:t>Lobbyi</w:t>
      </w:r>
      <w:r>
        <w:rPr>
          <w:rFonts w:cs="Arial"/>
          <w:bCs/>
          <w:color w:val="000000"/>
          <w:sz w:val="16"/>
          <w:szCs w:val="16"/>
        </w:rPr>
        <w:t>ng</w:t>
      </w:r>
      <w:r w:rsidRPr="00D22C56">
        <w:rPr>
          <w:rFonts w:cs="Arial"/>
          <w:bCs/>
          <w:color w:val="000000"/>
          <w:sz w:val="16"/>
          <w:szCs w:val="16"/>
        </w:rPr>
        <w:t xml:space="preserve"> Register.</w:t>
      </w:r>
    </w:p>
    <w:p w14:paraId="7BE56FC0" w14:textId="77777777"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 xml:space="preserve">7. </w:t>
      </w:r>
      <w:r>
        <w:rPr>
          <w:rFonts w:cs="Arial"/>
          <w:bCs/>
          <w:color w:val="000000"/>
          <w:sz w:val="16"/>
          <w:szCs w:val="16"/>
        </w:rPr>
        <w:tab/>
      </w:r>
      <w:r w:rsidRPr="00D22C56">
        <w:rPr>
          <w:rFonts w:cs="Arial"/>
          <w:bCs/>
          <w:color w:val="000000"/>
          <w:sz w:val="16"/>
          <w:szCs w:val="16"/>
        </w:rPr>
        <w:t xml:space="preserve">The </w:t>
      </w:r>
      <w:r>
        <w:rPr>
          <w:rFonts w:cs="Arial"/>
          <w:bCs/>
          <w:color w:val="000000"/>
          <w:sz w:val="16"/>
          <w:szCs w:val="16"/>
        </w:rPr>
        <w:t>increase</w:t>
      </w:r>
      <w:r w:rsidRPr="00D22C56">
        <w:rPr>
          <w:rFonts w:cs="Arial"/>
          <w:bCs/>
          <w:color w:val="000000"/>
          <w:sz w:val="16"/>
          <w:szCs w:val="16"/>
        </w:rPr>
        <w:t xml:space="preserve"> is due to higher prepaid expenses</w:t>
      </w:r>
      <w:r>
        <w:rPr>
          <w:rFonts w:cs="Arial"/>
          <w:bCs/>
          <w:color w:val="000000"/>
          <w:sz w:val="16"/>
          <w:szCs w:val="16"/>
        </w:rPr>
        <w:t xml:space="preserve">, </w:t>
      </w:r>
      <w:r w:rsidRPr="00D22C56">
        <w:rPr>
          <w:rFonts w:cs="Arial"/>
          <w:bCs/>
          <w:color w:val="000000"/>
          <w:sz w:val="16"/>
          <w:szCs w:val="16"/>
        </w:rPr>
        <w:t>principally for IT services ($0.074M) and</w:t>
      </w:r>
      <w:r>
        <w:rPr>
          <w:rFonts w:cs="Arial"/>
          <w:bCs/>
          <w:color w:val="000000"/>
          <w:sz w:val="16"/>
          <w:szCs w:val="16"/>
        </w:rPr>
        <w:t xml:space="preserve"> offset by</w:t>
      </w:r>
      <w:r w:rsidRPr="00D22C56">
        <w:rPr>
          <w:rFonts w:cs="Arial"/>
          <w:bCs/>
          <w:color w:val="000000"/>
          <w:sz w:val="16"/>
          <w:szCs w:val="16"/>
        </w:rPr>
        <w:t xml:space="preserve"> lower prepaid salaries ($0.036M)</w:t>
      </w:r>
      <w:r>
        <w:rPr>
          <w:rFonts w:cs="Arial"/>
          <w:bCs/>
          <w:color w:val="000000"/>
          <w:sz w:val="16"/>
          <w:szCs w:val="16"/>
        </w:rPr>
        <w:t xml:space="preserve"> and </w:t>
      </w:r>
      <w:r w:rsidRPr="00D22C56">
        <w:rPr>
          <w:rFonts w:cs="Arial"/>
          <w:bCs/>
          <w:color w:val="000000"/>
          <w:sz w:val="16"/>
          <w:szCs w:val="16"/>
        </w:rPr>
        <w:t>higher accrued revenue for contract management services ($0.034M).</w:t>
      </w:r>
    </w:p>
    <w:p w14:paraId="2BFD10C9" w14:textId="77777777"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 xml:space="preserve">8. </w:t>
      </w:r>
      <w:r>
        <w:rPr>
          <w:rFonts w:cs="Arial"/>
          <w:bCs/>
          <w:color w:val="000000"/>
          <w:sz w:val="16"/>
          <w:szCs w:val="16"/>
        </w:rPr>
        <w:tab/>
      </w:r>
      <w:r w:rsidRPr="00D22C56">
        <w:rPr>
          <w:rFonts w:cs="Arial"/>
          <w:bCs/>
          <w:color w:val="000000"/>
          <w:sz w:val="16"/>
          <w:szCs w:val="16"/>
        </w:rPr>
        <w:t xml:space="preserve">The </w:t>
      </w:r>
      <w:r>
        <w:rPr>
          <w:rFonts w:cs="Arial"/>
          <w:bCs/>
          <w:color w:val="000000"/>
          <w:sz w:val="16"/>
          <w:szCs w:val="16"/>
        </w:rPr>
        <w:t>increase</w:t>
      </w:r>
      <w:r w:rsidRPr="00D22C56">
        <w:rPr>
          <w:rFonts w:cs="Arial"/>
          <w:bCs/>
          <w:color w:val="000000"/>
          <w:sz w:val="16"/>
          <w:szCs w:val="16"/>
        </w:rPr>
        <w:t xml:space="preserve"> is due to the replacement of the </w:t>
      </w:r>
      <w:r>
        <w:rPr>
          <w:rFonts w:cs="Arial"/>
          <w:bCs/>
          <w:color w:val="000000"/>
          <w:sz w:val="16"/>
          <w:szCs w:val="16"/>
        </w:rPr>
        <w:t xml:space="preserve">Queensland </w:t>
      </w:r>
      <w:r w:rsidRPr="00D22C56">
        <w:rPr>
          <w:rFonts w:cs="Arial"/>
          <w:bCs/>
          <w:color w:val="000000"/>
          <w:sz w:val="16"/>
          <w:szCs w:val="16"/>
        </w:rPr>
        <w:t>Lobby</w:t>
      </w:r>
      <w:r>
        <w:rPr>
          <w:rFonts w:cs="Arial"/>
          <w:bCs/>
          <w:color w:val="000000"/>
          <w:sz w:val="16"/>
          <w:szCs w:val="16"/>
        </w:rPr>
        <w:t>ing</w:t>
      </w:r>
      <w:r w:rsidRPr="00D22C56">
        <w:rPr>
          <w:rFonts w:cs="Arial"/>
          <w:bCs/>
          <w:color w:val="000000"/>
          <w:sz w:val="16"/>
          <w:szCs w:val="16"/>
        </w:rPr>
        <w:t xml:space="preserve"> Register for the Office of the Queensland Integrity Commissioner which was </w:t>
      </w:r>
      <w:r>
        <w:rPr>
          <w:rFonts w:cs="Arial"/>
          <w:bCs/>
          <w:color w:val="000000"/>
          <w:sz w:val="16"/>
          <w:szCs w:val="16"/>
        </w:rPr>
        <w:t>committed post budget.</w:t>
      </w:r>
    </w:p>
    <w:p w14:paraId="2679C890" w14:textId="530FD67D"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 xml:space="preserve">9. </w:t>
      </w:r>
      <w:r>
        <w:rPr>
          <w:rFonts w:cs="Arial"/>
          <w:bCs/>
          <w:color w:val="000000"/>
          <w:sz w:val="16"/>
          <w:szCs w:val="16"/>
        </w:rPr>
        <w:tab/>
      </w:r>
      <w:r w:rsidRPr="00D22C56">
        <w:rPr>
          <w:rFonts w:cs="Arial"/>
          <w:bCs/>
          <w:color w:val="000000"/>
          <w:sz w:val="16"/>
          <w:szCs w:val="16"/>
        </w:rPr>
        <w:t>The increase is primarily due to higher than anticipated payables, including appropriation payable for funding deferrals to 2023</w:t>
      </w:r>
      <w:r w:rsidR="007A7552">
        <w:rPr>
          <w:rFonts w:cs="Arial"/>
          <w:bCs/>
          <w:color w:val="000000"/>
          <w:sz w:val="16"/>
          <w:szCs w:val="16"/>
        </w:rPr>
        <w:t>–</w:t>
      </w:r>
      <w:r w:rsidRPr="00D22C56">
        <w:rPr>
          <w:rFonts w:cs="Arial"/>
          <w:bCs/>
          <w:color w:val="000000"/>
          <w:sz w:val="16"/>
          <w:szCs w:val="16"/>
        </w:rPr>
        <w:t>24 ($1.872M) for projects not completed prior to 30 June 2023</w:t>
      </w:r>
      <w:r>
        <w:rPr>
          <w:rFonts w:cs="Arial"/>
          <w:bCs/>
          <w:color w:val="000000"/>
          <w:sz w:val="16"/>
          <w:szCs w:val="16"/>
        </w:rPr>
        <w:t xml:space="preserve"> and support services provided by the Department of the Premier and Cabinet to the Public Sector Commission ($0.889M)</w:t>
      </w:r>
      <w:r w:rsidRPr="00D22C56">
        <w:rPr>
          <w:rFonts w:cs="Arial"/>
          <w:bCs/>
          <w:color w:val="000000"/>
          <w:sz w:val="16"/>
          <w:szCs w:val="16"/>
        </w:rPr>
        <w:t>.</w:t>
      </w:r>
    </w:p>
    <w:p w14:paraId="290FF21D" w14:textId="77777777" w:rsidR="00973DBB" w:rsidRDefault="00973DBB" w:rsidP="0056356D">
      <w:pPr>
        <w:tabs>
          <w:tab w:val="left" w:pos="0"/>
          <w:tab w:val="left" w:pos="993"/>
        </w:tabs>
        <w:autoSpaceDE w:val="0"/>
        <w:autoSpaceDN w:val="0"/>
        <w:adjustRightInd w:val="0"/>
        <w:spacing w:after="0" w:line="360" w:lineRule="auto"/>
        <w:ind w:left="567" w:hanging="284"/>
        <w:rPr>
          <w:rFonts w:cs="Arial"/>
          <w:bCs/>
          <w:color w:val="000000"/>
          <w:sz w:val="16"/>
          <w:szCs w:val="16"/>
        </w:rPr>
      </w:pPr>
      <w:r w:rsidRPr="0052143A">
        <w:rPr>
          <w:rFonts w:cs="Arial"/>
          <w:bCs/>
          <w:color w:val="000000"/>
          <w:sz w:val="16"/>
          <w:szCs w:val="16"/>
        </w:rPr>
        <w:t xml:space="preserve">10. </w:t>
      </w:r>
      <w:r w:rsidRPr="00D22C56">
        <w:rPr>
          <w:rFonts w:cs="Arial"/>
          <w:bCs/>
          <w:color w:val="000000"/>
          <w:sz w:val="16"/>
          <w:szCs w:val="16"/>
        </w:rPr>
        <w:t xml:space="preserve">The </w:t>
      </w:r>
      <w:r>
        <w:rPr>
          <w:rFonts w:cs="Arial"/>
          <w:bCs/>
          <w:color w:val="000000"/>
          <w:sz w:val="16"/>
          <w:szCs w:val="16"/>
        </w:rPr>
        <w:t>increase</w:t>
      </w:r>
      <w:r w:rsidRPr="00D22C56">
        <w:rPr>
          <w:rFonts w:cs="Arial"/>
          <w:bCs/>
          <w:color w:val="000000"/>
          <w:sz w:val="16"/>
          <w:szCs w:val="16"/>
        </w:rPr>
        <w:t xml:space="preserve"> in contributed equity is a result of the transfer of appropriation to equity to fund the capital investment </w:t>
      </w:r>
      <w:r>
        <w:rPr>
          <w:rFonts w:cs="Arial"/>
          <w:bCs/>
          <w:color w:val="000000"/>
          <w:sz w:val="16"/>
          <w:szCs w:val="16"/>
        </w:rPr>
        <w:t xml:space="preserve">of </w:t>
      </w:r>
      <w:r w:rsidRPr="00D22C56">
        <w:rPr>
          <w:rFonts w:cs="Arial"/>
          <w:bCs/>
          <w:color w:val="000000"/>
          <w:sz w:val="16"/>
          <w:szCs w:val="16"/>
        </w:rPr>
        <w:t xml:space="preserve">the </w:t>
      </w:r>
      <w:r>
        <w:rPr>
          <w:rFonts w:cs="Arial"/>
          <w:bCs/>
          <w:color w:val="000000"/>
          <w:sz w:val="16"/>
          <w:szCs w:val="16"/>
        </w:rPr>
        <w:t xml:space="preserve">replacement of the Queensland </w:t>
      </w:r>
      <w:r w:rsidRPr="00D22C56">
        <w:rPr>
          <w:rFonts w:cs="Arial"/>
          <w:bCs/>
          <w:color w:val="000000"/>
          <w:sz w:val="16"/>
          <w:szCs w:val="16"/>
        </w:rPr>
        <w:t>Lobby</w:t>
      </w:r>
      <w:r>
        <w:rPr>
          <w:rFonts w:cs="Arial"/>
          <w:bCs/>
          <w:color w:val="000000"/>
          <w:sz w:val="16"/>
          <w:szCs w:val="16"/>
        </w:rPr>
        <w:t>ing</w:t>
      </w:r>
      <w:r w:rsidRPr="00D22C56">
        <w:rPr>
          <w:rFonts w:cs="Arial"/>
          <w:bCs/>
          <w:color w:val="000000"/>
          <w:sz w:val="16"/>
          <w:szCs w:val="16"/>
        </w:rPr>
        <w:t xml:space="preserve"> Register for the Office of the Queensland Integrity Commissioner.</w:t>
      </w:r>
    </w:p>
    <w:p w14:paraId="16107C6C" w14:textId="1279EE5F" w:rsidR="00ED5629" w:rsidRPr="00746BEC" w:rsidRDefault="00FE1581" w:rsidP="00746BEC">
      <w:pPr>
        <w:pStyle w:val="PSCHeading2"/>
        <w:rPr>
          <w:lang w:eastAsia="en-AU"/>
        </w:rPr>
      </w:pPr>
      <w:bookmarkStart w:id="504" w:name="_Toc145672762"/>
      <w:bookmarkStart w:id="505" w:name="_Toc145673160"/>
      <w:bookmarkStart w:id="506" w:name="_Toc145926990"/>
      <w:r w:rsidRPr="00047F6B">
        <w:rPr>
          <w:lang w:eastAsia="en-AU"/>
        </w:rPr>
        <w:lastRenderedPageBreak/>
        <w:t>Statement of Change in Equity</w:t>
      </w:r>
      <w:r w:rsidR="003B4964">
        <w:rPr>
          <w:rFonts w:cs="Arial"/>
          <w:szCs w:val="20"/>
        </w:rPr>
        <w:pict w14:anchorId="7AB2D744">
          <v:shape id="_x0000_i1027" type="#_x0000_t75" alt="Table showing statement of change in equity." style="width:483pt;height:293.65pt;mso-position-horizontal:center">
            <v:imagedata r:id="rId41" o:title=""/>
          </v:shape>
        </w:pict>
      </w:r>
      <w:bookmarkEnd w:id="504"/>
      <w:bookmarkEnd w:id="505"/>
      <w:bookmarkEnd w:id="506"/>
      <w:r w:rsidR="00ED5629">
        <w:rPr>
          <w:rFonts w:cs="Arial"/>
          <w:szCs w:val="20"/>
        </w:rPr>
        <w:br/>
      </w:r>
    </w:p>
    <w:p w14:paraId="4A70D4D5" w14:textId="342F115A" w:rsidR="00753475" w:rsidRDefault="00ED5629" w:rsidP="00782868">
      <w:pPr>
        <w:pStyle w:val="PSCHeading2"/>
        <w:rPr>
          <w:rFonts w:cs="Arial"/>
          <w:b/>
          <w:sz w:val="16"/>
          <w:szCs w:val="16"/>
        </w:rPr>
      </w:pPr>
      <w:r>
        <w:rPr>
          <w:szCs w:val="20"/>
        </w:rPr>
        <w:br w:type="page"/>
      </w:r>
      <w:bookmarkStart w:id="507" w:name="_Toc145672763"/>
      <w:bookmarkStart w:id="508" w:name="_Toc145673161"/>
      <w:bookmarkStart w:id="509" w:name="_Toc145926991"/>
      <w:r w:rsidR="003A659F" w:rsidRPr="00047F6B">
        <w:lastRenderedPageBreak/>
        <w:t>Statement of Cash Flows</w:t>
      </w:r>
      <w:r w:rsidR="003B4964">
        <w:rPr>
          <w:rFonts w:cs="Arial"/>
          <w:b/>
          <w:sz w:val="16"/>
          <w:szCs w:val="16"/>
        </w:rPr>
        <w:pict w14:anchorId="1C94FFD2">
          <v:shape id="_x0000_i1028" type="#_x0000_t75" alt="Table showing statement of cash flows." style="width:481.5pt;height:552pt;mso-position-horizontal:center;mso-position-horizontal-relative:text;mso-position-vertical:absolute;mso-position-vertical-relative:text;mso-width-relative:page;mso-height-relative:page">
            <v:imagedata r:id="rId42" o:title=""/>
          </v:shape>
        </w:pict>
      </w:r>
      <w:r w:rsidR="00753475">
        <w:rPr>
          <w:rFonts w:cs="Arial"/>
          <w:b/>
          <w:sz w:val="16"/>
          <w:szCs w:val="16"/>
        </w:rPr>
        <w:br/>
      </w:r>
      <w:r w:rsidR="00753475" w:rsidRPr="00196AAA">
        <w:rPr>
          <w:rFonts w:cs="Arial"/>
          <w:b/>
          <w:sz w:val="16"/>
          <w:szCs w:val="16"/>
        </w:rPr>
        <w:t>Explanation of major budget variances</w:t>
      </w:r>
      <w:bookmarkEnd w:id="507"/>
      <w:bookmarkEnd w:id="508"/>
      <w:bookmarkEnd w:id="509"/>
    </w:p>
    <w:p w14:paraId="65A1BDC0" w14:textId="77777777" w:rsidR="00753475" w:rsidRPr="00D726F5" w:rsidRDefault="00753475" w:rsidP="00753475">
      <w:pPr>
        <w:tabs>
          <w:tab w:val="left" w:pos="0"/>
        </w:tabs>
        <w:autoSpaceDE w:val="0"/>
        <w:autoSpaceDN w:val="0"/>
        <w:adjustRightInd w:val="0"/>
        <w:spacing w:after="0" w:line="360" w:lineRule="auto"/>
        <w:ind w:left="425" w:hanging="425"/>
        <w:rPr>
          <w:rFonts w:cs="Arial"/>
          <w:bCs/>
          <w:color w:val="000000"/>
          <w:sz w:val="16"/>
          <w:szCs w:val="16"/>
        </w:rPr>
      </w:pPr>
      <w:r w:rsidRPr="00D726F5">
        <w:rPr>
          <w:rFonts w:cs="Arial"/>
          <w:bCs/>
          <w:color w:val="000000"/>
          <w:sz w:val="16"/>
          <w:szCs w:val="16"/>
        </w:rPr>
        <w:t>11. The increase is due to higher appropriation receipts for the Public Sector reforms offset by the deferrals during the year.</w:t>
      </w:r>
    </w:p>
    <w:p w14:paraId="08F96ECE" w14:textId="77777777" w:rsidR="00753475" w:rsidRPr="00D726F5" w:rsidRDefault="00753475" w:rsidP="00753475">
      <w:pPr>
        <w:tabs>
          <w:tab w:val="left" w:pos="0"/>
        </w:tabs>
        <w:autoSpaceDE w:val="0"/>
        <w:autoSpaceDN w:val="0"/>
        <w:adjustRightInd w:val="0"/>
        <w:spacing w:after="0" w:line="360" w:lineRule="auto"/>
        <w:ind w:left="425" w:hanging="425"/>
        <w:rPr>
          <w:rFonts w:cs="Arial"/>
          <w:bCs/>
          <w:color w:val="000000"/>
          <w:sz w:val="16"/>
          <w:szCs w:val="16"/>
        </w:rPr>
      </w:pPr>
      <w:r w:rsidRPr="00D726F5">
        <w:rPr>
          <w:rFonts w:cs="Arial"/>
          <w:bCs/>
          <w:color w:val="000000"/>
          <w:sz w:val="16"/>
          <w:szCs w:val="16"/>
        </w:rPr>
        <w:t>12. The increase in other inflows is due to timing of payments received for prior year revenue.</w:t>
      </w:r>
    </w:p>
    <w:p w14:paraId="641C9892" w14:textId="002A1164" w:rsidR="00047B4C" w:rsidRDefault="00753475" w:rsidP="00753475">
      <w:pPr>
        <w:tabs>
          <w:tab w:val="left" w:pos="0"/>
        </w:tabs>
        <w:autoSpaceDE w:val="0"/>
        <w:autoSpaceDN w:val="0"/>
        <w:adjustRightInd w:val="0"/>
        <w:spacing w:after="0" w:line="360" w:lineRule="auto"/>
        <w:ind w:left="284" w:hanging="284"/>
        <w:rPr>
          <w:rFonts w:cs="Arial"/>
          <w:bCs/>
          <w:color w:val="000000"/>
          <w:sz w:val="16"/>
          <w:szCs w:val="16"/>
        </w:rPr>
      </w:pPr>
      <w:r w:rsidRPr="00D726F5">
        <w:rPr>
          <w:rFonts w:cs="Arial"/>
          <w:bCs/>
          <w:color w:val="000000"/>
          <w:sz w:val="16"/>
          <w:szCs w:val="16"/>
        </w:rPr>
        <w:t xml:space="preserve">13. The increase in equity injection inflows is due to the transfer of appropriation revenue to equity injection associated with the replacement of the </w:t>
      </w:r>
      <w:r>
        <w:rPr>
          <w:rFonts w:cs="Arial"/>
          <w:bCs/>
          <w:color w:val="000000"/>
          <w:sz w:val="16"/>
          <w:szCs w:val="16"/>
        </w:rPr>
        <w:t xml:space="preserve">Queensland </w:t>
      </w:r>
      <w:r w:rsidRPr="00D726F5">
        <w:rPr>
          <w:rFonts w:cs="Arial"/>
          <w:bCs/>
          <w:color w:val="000000"/>
          <w:sz w:val="16"/>
          <w:szCs w:val="16"/>
        </w:rPr>
        <w:t>Lobbyi</w:t>
      </w:r>
      <w:r>
        <w:rPr>
          <w:rFonts w:cs="Arial"/>
          <w:bCs/>
          <w:color w:val="000000"/>
          <w:sz w:val="16"/>
          <w:szCs w:val="16"/>
        </w:rPr>
        <w:t>ng</w:t>
      </w:r>
      <w:r w:rsidRPr="00D726F5">
        <w:rPr>
          <w:rFonts w:cs="Arial"/>
          <w:bCs/>
          <w:color w:val="000000"/>
          <w:sz w:val="16"/>
          <w:szCs w:val="16"/>
        </w:rPr>
        <w:t xml:space="preserve"> Register for the Office of the Queensland Integrity Commissioner.</w:t>
      </w:r>
    </w:p>
    <w:p w14:paraId="68E9EA24" w14:textId="77777777" w:rsidR="00047B4C" w:rsidRDefault="00047B4C">
      <w:pPr>
        <w:rPr>
          <w:rFonts w:cs="Arial"/>
          <w:bCs/>
          <w:color w:val="000000"/>
          <w:sz w:val="16"/>
          <w:szCs w:val="16"/>
        </w:rPr>
      </w:pPr>
      <w:r>
        <w:rPr>
          <w:rFonts w:cs="Arial"/>
          <w:bCs/>
          <w:color w:val="000000"/>
          <w:sz w:val="16"/>
          <w:szCs w:val="16"/>
        </w:rPr>
        <w:br w:type="page"/>
      </w:r>
    </w:p>
    <w:p w14:paraId="36BF2F6D" w14:textId="4DB2EB65" w:rsidR="00814B19" w:rsidRPr="00782868" w:rsidRDefault="00C413B4" w:rsidP="00782868">
      <w:pPr>
        <w:pStyle w:val="PSCHeading2"/>
      </w:pPr>
      <w:bookmarkStart w:id="510" w:name="_Toc145672764"/>
      <w:bookmarkStart w:id="511" w:name="_Toc145673162"/>
      <w:bookmarkStart w:id="512" w:name="_Toc145926992"/>
      <w:r w:rsidRPr="00047F6B">
        <w:lastRenderedPageBreak/>
        <w:t>Notes to the Financial Statements</w:t>
      </w:r>
      <w:r w:rsidR="003B4964">
        <w:rPr>
          <w:rFonts w:cs="Arial"/>
          <w:b/>
          <w:szCs w:val="20"/>
        </w:rPr>
        <w:pict w14:anchorId="3198A259">
          <v:shape id="_x0000_i1029" type="#_x0000_t75" alt="Table showing reconciliation of operating result to net cash provided by operating activities." style="width:482.25pt;height:207.4pt;mso-position-horizontal:center">
            <v:imagedata r:id="rId43" o:title=""/>
          </v:shape>
        </w:pict>
      </w:r>
      <w:r w:rsidR="0064298E">
        <w:rPr>
          <w:rFonts w:cs="Arial"/>
          <w:b/>
          <w:szCs w:val="20"/>
        </w:rPr>
        <w:br/>
      </w:r>
      <w:r w:rsidR="00814B19" w:rsidRPr="00782868">
        <w:t>Section A: Basis of Financial Statement Preparation</w:t>
      </w:r>
      <w:bookmarkEnd w:id="510"/>
      <w:bookmarkEnd w:id="511"/>
      <w:bookmarkEnd w:id="512"/>
    </w:p>
    <w:p w14:paraId="5F8B4415" w14:textId="77777777" w:rsidR="00814B19" w:rsidRPr="00196AAA" w:rsidRDefault="00814B19" w:rsidP="00814B19">
      <w:pPr>
        <w:spacing w:before="120" w:line="259" w:lineRule="auto"/>
        <w:rPr>
          <w:rFonts w:cs="Arial"/>
          <w:b/>
          <w:sz w:val="18"/>
          <w:szCs w:val="18"/>
        </w:rPr>
      </w:pPr>
      <w:r>
        <w:rPr>
          <w:rFonts w:cs="Arial"/>
          <w:b/>
          <w:sz w:val="18"/>
          <w:szCs w:val="18"/>
        </w:rPr>
        <w:t>A</w:t>
      </w:r>
      <w:r w:rsidRPr="00196AAA">
        <w:rPr>
          <w:rFonts w:cs="Arial"/>
          <w:b/>
          <w:sz w:val="18"/>
          <w:szCs w:val="18"/>
        </w:rPr>
        <w:t>1 Compliance with the Prescribed Requirements</w:t>
      </w:r>
    </w:p>
    <w:p w14:paraId="7CBFD183" w14:textId="77777777" w:rsidR="00814B19" w:rsidRPr="00196AAA" w:rsidRDefault="00814B19" w:rsidP="00814B19">
      <w:pPr>
        <w:spacing w:before="120" w:line="259" w:lineRule="auto"/>
        <w:rPr>
          <w:rFonts w:cs="Arial"/>
          <w:sz w:val="16"/>
          <w:szCs w:val="16"/>
        </w:rPr>
      </w:pPr>
      <w:r w:rsidRPr="00196AAA">
        <w:rPr>
          <w:rFonts w:cs="Arial"/>
          <w:sz w:val="16"/>
          <w:szCs w:val="16"/>
        </w:rPr>
        <w:t xml:space="preserve">The </w:t>
      </w:r>
      <w:r>
        <w:rPr>
          <w:rFonts w:cs="Arial"/>
          <w:sz w:val="16"/>
          <w:szCs w:val="16"/>
        </w:rPr>
        <w:t xml:space="preserve">Public Sector </w:t>
      </w:r>
      <w:r w:rsidRPr="00196AAA">
        <w:rPr>
          <w:rFonts w:cs="Arial"/>
          <w:sz w:val="16"/>
          <w:szCs w:val="16"/>
        </w:rPr>
        <w:t xml:space="preserve">Commission </w:t>
      </w:r>
      <w:r>
        <w:rPr>
          <w:rFonts w:cs="Arial"/>
          <w:sz w:val="16"/>
          <w:szCs w:val="16"/>
        </w:rPr>
        <w:t xml:space="preserve">(Commission) </w:t>
      </w:r>
      <w:r w:rsidRPr="00196AAA">
        <w:rPr>
          <w:rFonts w:cs="Arial"/>
          <w:sz w:val="16"/>
          <w:szCs w:val="16"/>
        </w:rPr>
        <w:t>has prepared these financial statements:</w:t>
      </w:r>
    </w:p>
    <w:p w14:paraId="65D58067" w14:textId="77777777" w:rsidR="00814B19" w:rsidRPr="002F7929" w:rsidRDefault="00814B19" w:rsidP="00F61D85">
      <w:pPr>
        <w:pStyle w:val="ListBullet"/>
        <w:numPr>
          <w:ilvl w:val="0"/>
          <w:numId w:val="14"/>
        </w:numPr>
        <w:tabs>
          <w:tab w:val="clear" w:pos="360"/>
          <w:tab w:val="num" w:pos="284"/>
        </w:tabs>
        <w:spacing w:before="120" w:after="0" w:line="259" w:lineRule="auto"/>
        <w:ind w:left="0" w:firstLine="0"/>
        <w:rPr>
          <w:rFonts w:cs="Arial"/>
          <w:sz w:val="16"/>
          <w:szCs w:val="16"/>
        </w:rPr>
      </w:pPr>
      <w:r w:rsidRPr="00196AAA">
        <w:rPr>
          <w:rFonts w:cs="Arial"/>
          <w:sz w:val="16"/>
          <w:szCs w:val="16"/>
        </w:rPr>
        <w:t xml:space="preserve">in compliance with section 38 of the </w:t>
      </w:r>
      <w:r w:rsidRPr="00FF0258">
        <w:rPr>
          <w:rFonts w:cs="Arial"/>
          <w:i/>
          <w:iCs/>
          <w:sz w:val="16"/>
          <w:szCs w:val="16"/>
        </w:rPr>
        <w:t>Financial and Performance Management Standard 2019</w:t>
      </w:r>
    </w:p>
    <w:p w14:paraId="4AABEC53" w14:textId="77777777" w:rsidR="00814B19" w:rsidRPr="00196AAA" w:rsidRDefault="00814B19" w:rsidP="00F61D85">
      <w:pPr>
        <w:pStyle w:val="ListBullet"/>
        <w:numPr>
          <w:ilvl w:val="0"/>
          <w:numId w:val="15"/>
        </w:numPr>
        <w:tabs>
          <w:tab w:val="num" w:pos="284"/>
        </w:tabs>
        <w:spacing w:before="120" w:after="0" w:line="259" w:lineRule="auto"/>
        <w:ind w:left="284" w:hanging="284"/>
        <w:rPr>
          <w:rFonts w:cs="Arial"/>
          <w:sz w:val="16"/>
          <w:szCs w:val="16"/>
        </w:rPr>
      </w:pPr>
      <w:r>
        <w:rPr>
          <w:rFonts w:cs="Arial"/>
          <w:sz w:val="16"/>
          <w:szCs w:val="16"/>
        </w:rPr>
        <w:t>i</w:t>
      </w:r>
      <w:r w:rsidRPr="00196AAA">
        <w:rPr>
          <w:rFonts w:cs="Arial"/>
          <w:sz w:val="16"/>
          <w:szCs w:val="16"/>
        </w:rPr>
        <w:t>n accordance with the minimum reporting requirements mentioned in the Financial Reporting Requirements for Queensland Government agencies for reporting periods beginning on or after 1 July 20</w:t>
      </w:r>
      <w:r>
        <w:rPr>
          <w:rFonts w:cs="Arial"/>
          <w:sz w:val="16"/>
          <w:szCs w:val="16"/>
        </w:rPr>
        <w:t>22</w:t>
      </w:r>
    </w:p>
    <w:p w14:paraId="4095FE20" w14:textId="77777777" w:rsidR="00814B19" w:rsidRPr="00196AAA" w:rsidRDefault="00814B19" w:rsidP="00F61D85">
      <w:pPr>
        <w:pStyle w:val="ListBullet"/>
        <w:numPr>
          <w:ilvl w:val="0"/>
          <w:numId w:val="15"/>
        </w:numPr>
        <w:tabs>
          <w:tab w:val="num" w:pos="284"/>
        </w:tabs>
        <w:spacing w:before="120" w:after="0" w:line="259" w:lineRule="auto"/>
        <w:ind w:left="284" w:hanging="284"/>
        <w:rPr>
          <w:rFonts w:cs="Arial"/>
          <w:sz w:val="16"/>
          <w:szCs w:val="16"/>
        </w:rPr>
      </w:pPr>
      <w:r w:rsidRPr="00196AAA">
        <w:rPr>
          <w:rFonts w:cs="Arial"/>
          <w:sz w:val="16"/>
          <w:szCs w:val="16"/>
        </w:rPr>
        <w:t>on an accrual basis (except for the Statement of Cash Flow which is prepared on a cash basis) in accordance with Australian Accounting Standards and Interpretations applicable to not-for-profit entities.</w:t>
      </w:r>
    </w:p>
    <w:p w14:paraId="5542E086" w14:textId="10CFEECF" w:rsidR="00814B19" w:rsidRPr="00196AAA" w:rsidRDefault="00814B19" w:rsidP="00814B19">
      <w:pPr>
        <w:spacing w:before="120" w:line="259" w:lineRule="auto"/>
        <w:rPr>
          <w:rFonts w:cs="Arial"/>
          <w:b/>
          <w:sz w:val="18"/>
          <w:szCs w:val="18"/>
        </w:rPr>
      </w:pPr>
      <w:r>
        <w:rPr>
          <w:rFonts w:cs="Arial"/>
          <w:b/>
          <w:sz w:val="18"/>
          <w:szCs w:val="18"/>
        </w:rPr>
        <w:t>A1</w:t>
      </w:r>
      <w:r w:rsidRPr="00196AAA">
        <w:rPr>
          <w:rFonts w:cs="Arial"/>
          <w:b/>
          <w:sz w:val="18"/>
          <w:szCs w:val="18"/>
        </w:rPr>
        <w:t>-2</w:t>
      </w:r>
      <w:r w:rsidR="00CE1DA9">
        <w:rPr>
          <w:rFonts w:cs="Arial"/>
          <w:b/>
          <w:sz w:val="18"/>
          <w:szCs w:val="18"/>
        </w:rPr>
        <w:t xml:space="preserve"> </w:t>
      </w:r>
      <w:r w:rsidRPr="00196AAA">
        <w:rPr>
          <w:rFonts w:cs="Arial"/>
          <w:b/>
          <w:sz w:val="18"/>
          <w:szCs w:val="18"/>
        </w:rPr>
        <w:t>Presentation</w:t>
      </w:r>
    </w:p>
    <w:p w14:paraId="01AC58CA" w14:textId="77777777" w:rsidR="00814B19" w:rsidRPr="00196AAA" w:rsidRDefault="00814B19" w:rsidP="00814B19">
      <w:pPr>
        <w:spacing w:before="120" w:line="259" w:lineRule="auto"/>
        <w:rPr>
          <w:rFonts w:cs="Arial"/>
          <w:bCs/>
          <w:sz w:val="16"/>
          <w:szCs w:val="16"/>
        </w:rPr>
      </w:pPr>
      <w:r w:rsidRPr="00196AAA">
        <w:rPr>
          <w:rFonts w:cs="Arial"/>
          <w:bCs/>
          <w:sz w:val="16"/>
          <w:szCs w:val="16"/>
        </w:rPr>
        <w:t>Amounts included in the financial statements are in Australian dollars and rounded to the nearest $1,000 or, where that amount is $500 or less, to zero</w:t>
      </w:r>
      <w:r>
        <w:rPr>
          <w:rFonts w:cs="Arial"/>
          <w:bCs/>
          <w:sz w:val="16"/>
          <w:szCs w:val="16"/>
        </w:rPr>
        <w:t>, unless disclosure of the full amount is specifically required.</w:t>
      </w:r>
    </w:p>
    <w:p w14:paraId="4BD6E445" w14:textId="3BC0C5E4" w:rsidR="00814B19" w:rsidRPr="00196AAA" w:rsidRDefault="00814B19" w:rsidP="00814B19">
      <w:pPr>
        <w:spacing w:before="120" w:line="259" w:lineRule="auto"/>
        <w:rPr>
          <w:rFonts w:cs="Arial"/>
          <w:bCs/>
          <w:sz w:val="16"/>
          <w:szCs w:val="16"/>
        </w:rPr>
      </w:pPr>
      <w:r w:rsidRPr="00196AAA">
        <w:rPr>
          <w:rFonts w:cs="Arial"/>
          <w:bCs/>
          <w:sz w:val="16"/>
          <w:szCs w:val="16"/>
        </w:rPr>
        <w:t>Comparative information reflects the audited 20</w:t>
      </w:r>
      <w:r>
        <w:rPr>
          <w:rFonts w:cs="Arial"/>
          <w:bCs/>
          <w:sz w:val="16"/>
          <w:szCs w:val="16"/>
        </w:rPr>
        <w:t>21</w:t>
      </w:r>
      <w:r w:rsidR="007A7552">
        <w:rPr>
          <w:rFonts w:cs="Arial"/>
          <w:bCs/>
          <w:sz w:val="16"/>
          <w:szCs w:val="16"/>
        </w:rPr>
        <w:t>–</w:t>
      </w:r>
      <w:r>
        <w:rPr>
          <w:rFonts w:cs="Arial"/>
          <w:bCs/>
          <w:sz w:val="16"/>
          <w:szCs w:val="16"/>
        </w:rPr>
        <w:t>22</w:t>
      </w:r>
      <w:r w:rsidRPr="00196AAA">
        <w:rPr>
          <w:rFonts w:cs="Arial"/>
          <w:bCs/>
          <w:sz w:val="16"/>
          <w:szCs w:val="16"/>
        </w:rPr>
        <w:t xml:space="preserve"> financial statements.</w:t>
      </w:r>
    </w:p>
    <w:p w14:paraId="0E000F54" w14:textId="77777777" w:rsidR="00814B19" w:rsidRPr="00196AAA" w:rsidRDefault="00814B19" w:rsidP="00814B19">
      <w:pPr>
        <w:spacing w:before="120" w:line="259" w:lineRule="auto"/>
        <w:rPr>
          <w:rFonts w:cs="Arial"/>
          <w:bCs/>
          <w:sz w:val="16"/>
          <w:szCs w:val="16"/>
        </w:rPr>
      </w:pPr>
      <w:r w:rsidRPr="00196AAA">
        <w:rPr>
          <w:rFonts w:cs="Arial"/>
          <w:bCs/>
          <w:sz w:val="16"/>
          <w:szCs w:val="16"/>
        </w:rPr>
        <w:t xml:space="preserve">Assets are classified as ‘current’ where their carrying amount is expected to be realised within 12 months after the reporting date. Liabilities are classified as ‘current’ when they are due to be settled within 12 months after the reporting date, or the Commission does not have an unconditional right to defer settlements to beyond 12 months after the reporting date. </w:t>
      </w:r>
    </w:p>
    <w:p w14:paraId="3358AEFB" w14:textId="77777777" w:rsidR="00814B19" w:rsidRDefault="00814B19" w:rsidP="00814B19">
      <w:pPr>
        <w:spacing w:before="120" w:line="259" w:lineRule="auto"/>
        <w:rPr>
          <w:rFonts w:cs="Arial"/>
          <w:bCs/>
          <w:sz w:val="16"/>
          <w:szCs w:val="16"/>
        </w:rPr>
      </w:pPr>
      <w:r w:rsidRPr="00196AAA">
        <w:rPr>
          <w:rFonts w:cs="Arial"/>
          <w:bCs/>
          <w:sz w:val="16"/>
          <w:szCs w:val="16"/>
        </w:rPr>
        <w:t>All other assets and liabilities are classified as ‘non-current’.</w:t>
      </w:r>
    </w:p>
    <w:p w14:paraId="6C3DA620" w14:textId="46C1BFE3" w:rsidR="00814B19" w:rsidRPr="00196AAA" w:rsidRDefault="00814B19" w:rsidP="00814B19">
      <w:pPr>
        <w:spacing w:before="120" w:line="259" w:lineRule="auto"/>
        <w:rPr>
          <w:rFonts w:cs="Arial"/>
          <w:b/>
          <w:sz w:val="18"/>
          <w:szCs w:val="18"/>
        </w:rPr>
      </w:pPr>
      <w:r>
        <w:rPr>
          <w:rFonts w:cs="Arial"/>
          <w:b/>
          <w:sz w:val="18"/>
          <w:szCs w:val="18"/>
        </w:rPr>
        <w:t>A1</w:t>
      </w:r>
      <w:r w:rsidRPr="00196AAA">
        <w:rPr>
          <w:rFonts w:cs="Arial"/>
          <w:b/>
          <w:sz w:val="18"/>
          <w:szCs w:val="18"/>
        </w:rPr>
        <w:t>-3</w:t>
      </w:r>
      <w:r w:rsidR="00CE1DA9">
        <w:rPr>
          <w:rFonts w:cs="Arial"/>
          <w:b/>
          <w:sz w:val="18"/>
          <w:szCs w:val="18"/>
        </w:rPr>
        <w:t xml:space="preserve"> </w:t>
      </w:r>
      <w:r w:rsidRPr="00196AAA">
        <w:rPr>
          <w:rFonts w:cs="Arial"/>
          <w:b/>
          <w:sz w:val="18"/>
          <w:szCs w:val="18"/>
        </w:rPr>
        <w:t>Basis of Measurement</w:t>
      </w:r>
    </w:p>
    <w:p w14:paraId="141B1CC1" w14:textId="77777777" w:rsidR="00814B19" w:rsidRPr="00196AAA" w:rsidRDefault="00814B19" w:rsidP="00814B19">
      <w:pPr>
        <w:spacing w:before="120" w:line="259" w:lineRule="auto"/>
        <w:rPr>
          <w:rFonts w:cs="Arial"/>
          <w:sz w:val="16"/>
          <w:szCs w:val="16"/>
        </w:rPr>
      </w:pPr>
      <w:r w:rsidRPr="00196AAA">
        <w:rPr>
          <w:rFonts w:cs="Arial"/>
          <w:sz w:val="16"/>
          <w:szCs w:val="16"/>
        </w:rPr>
        <w:t xml:space="preserve">Historical cost is used as the measurement basis in these financial statements. </w:t>
      </w:r>
    </w:p>
    <w:p w14:paraId="6F2AC6CB" w14:textId="77777777" w:rsidR="00814B19" w:rsidRDefault="00814B19" w:rsidP="00814B19">
      <w:pPr>
        <w:spacing w:before="120" w:line="259" w:lineRule="auto"/>
        <w:rPr>
          <w:rFonts w:cs="Arial"/>
          <w:sz w:val="16"/>
          <w:szCs w:val="16"/>
        </w:rPr>
      </w:pPr>
      <w:r w:rsidRPr="00196AAA">
        <w:rPr>
          <w:rFonts w:cs="Arial"/>
          <w:sz w:val="16"/>
          <w:szCs w:val="16"/>
        </w:rPr>
        <w:t>Under historical cost, assets are recorded at the amount of cash or cash equivalents paid or the fair value of the consideration given to acquire assets at the time of their acquisition. Liabilities are recorded at the amount of proceeds received in exchange for the obligation or at the amounts of cash or cash equivalents expected to be paid to satisfy the liability in the normal course of business.</w:t>
      </w:r>
    </w:p>
    <w:p w14:paraId="571939CE" w14:textId="11EB4E6B" w:rsidR="00814B19" w:rsidRPr="00530F27" w:rsidRDefault="00814B19" w:rsidP="00814B19">
      <w:pPr>
        <w:spacing w:before="120" w:line="259" w:lineRule="auto"/>
        <w:rPr>
          <w:rFonts w:cs="Arial"/>
          <w:b/>
          <w:sz w:val="18"/>
          <w:szCs w:val="18"/>
        </w:rPr>
      </w:pPr>
      <w:bookmarkStart w:id="513" w:name="_Hlk109141617"/>
      <w:r w:rsidRPr="00530F27">
        <w:rPr>
          <w:rFonts w:cs="Arial"/>
          <w:b/>
          <w:sz w:val="18"/>
          <w:szCs w:val="18"/>
        </w:rPr>
        <w:t>A1-4 Authorisation of Financial Statements for Issue</w:t>
      </w:r>
    </w:p>
    <w:p w14:paraId="7DCB6894" w14:textId="77777777" w:rsidR="00814B19" w:rsidRDefault="00814B19" w:rsidP="00814B19">
      <w:pPr>
        <w:spacing w:before="120" w:line="259" w:lineRule="auto"/>
        <w:rPr>
          <w:rFonts w:cs="Arial"/>
          <w:sz w:val="16"/>
          <w:szCs w:val="16"/>
        </w:rPr>
      </w:pPr>
      <w:r w:rsidRPr="00530F27">
        <w:rPr>
          <w:rFonts w:cs="Arial"/>
          <w:sz w:val="16"/>
          <w:szCs w:val="16"/>
        </w:rPr>
        <w:t xml:space="preserve">The financial statements </w:t>
      </w:r>
      <w:r w:rsidRPr="00530F27">
        <w:rPr>
          <w:rFonts w:cs="Arial"/>
          <w:bCs/>
          <w:color w:val="000000"/>
          <w:sz w:val="16"/>
          <w:szCs w:val="16"/>
        </w:rPr>
        <w:t xml:space="preserve">cover the Commission and </w:t>
      </w:r>
      <w:r w:rsidRPr="00530F27">
        <w:rPr>
          <w:rFonts w:cs="Arial"/>
          <w:sz w:val="16"/>
          <w:szCs w:val="16"/>
        </w:rPr>
        <w:t xml:space="preserve">are authorised for issue by the </w:t>
      </w:r>
      <w:r>
        <w:rPr>
          <w:rFonts w:cs="Arial"/>
          <w:sz w:val="16"/>
          <w:szCs w:val="16"/>
        </w:rPr>
        <w:t>Public Sector Commissioner</w:t>
      </w:r>
      <w:r w:rsidRPr="00530F27">
        <w:rPr>
          <w:rFonts w:cs="Arial"/>
          <w:sz w:val="16"/>
          <w:szCs w:val="16"/>
        </w:rPr>
        <w:t xml:space="preserve"> and Chief Finance Officer at the date of signing the management certificate.</w:t>
      </w:r>
    </w:p>
    <w:p w14:paraId="7F77E04F" w14:textId="77777777" w:rsidR="00814B19" w:rsidRPr="004E0353" w:rsidRDefault="00814B19" w:rsidP="00814B19">
      <w:pPr>
        <w:spacing w:before="120" w:line="259" w:lineRule="auto"/>
        <w:rPr>
          <w:b/>
          <w:sz w:val="14"/>
          <w:szCs w:val="14"/>
        </w:rPr>
      </w:pPr>
      <w:r w:rsidRPr="002D49CA">
        <w:rPr>
          <w:rFonts w:cs="Arial"/>
          <w:b/>
          <w:sz w:val="18"/>
          <w:szCs w:val="18"/>
        </w:rPr>
        <w:t>A1-5 Accounting Estimates and Judgement</w:t>
      </w:r>
    </w:p>
    <w:p w14:paraId="34E5424B" w14:textId="77777777" w:rsidR="00814B19" w:rsidRPr="002D49CA" w:rsidRDefault="00814B19" w:rsidP="00814B19">
      <w:pPr>
        <w:spacing w:before="120" w:line="259" w:lineRule="auto"/>
        <w:rPr>
          <w:rFonts w:cs="Arial"/>
          <w:sz w:val="16"/>
          <w:szCs w:val="16"/>
        </w:rPr>
      </w:pPr>
      <w:r w:rsidRPr="002D49CA">
        <w:rPr>
          <w:rFonts w:cs="Arial"/>
          <w:sz w:val="16"/>
          <w:szCs w:val="16"/>
        </w:rPr>
        <w:t>Reference should be made to the respective notes for more information on critical judgements, estimates and assumptions about the estimated uncertainty and the potential this could have to materially impact on the carrying amount of the department’s assets and liabilities in the next reporting period. These are as follows:</w:t>
      </w:r>
    </w:p>
    <w:p w14:paraId="6986CED2" w14:textId="36BB5CD6" w:rsidR="00814B19" w:rsidRPr="002D49CA" w:rsidRDefault="00814B19" w:rsidP="00164729">
      <w:pPr>
        <w:spacing w:before="120" w:line="259" w:lineRule="auto"/>
        <w:rPr>
          <w:rFonts w:cs="Arial"/>
          <w:sz w:val="16"/>
          <w:szCs w:val="16"/>
        </w:rPr>
      </w:pPr>
      <w:r w:rsidRPr="002D49CA">
        <w:rPr>
          <w:rFonts w:cs="Arial"/>
          <w:sz w:val="16"/>
          <w:szCs w:val="16"/>
        </w:rPr>
        <w:t>Note C</w:t>
      </w:r>
      <w:r>
        <w:rPr>
          <w:rFonts w:cs="Arial"/>
          <w:sz w:val="16"/>
          <w:szCs w:val="16"/>
        </w:rPr>
        <w:t xml:space="preserve">4 </w:t>
      </w:r>
      <w:r w:rsidRPr="002D49CA">
        <w:rPr>
          <w:rFonts w:cs="Arial"/>
          <w:sz w:val="16"/>
          <w:szCs w:val="16"/>
        </w:rPr>
        <w:t>Intangible assets. Amortisation expense and impairment</w:t>
      </w:r>
      <w:r w:rsidR="00164729">
        <w:rPr>
          <w:rFonts w:cs="Arial"/>
          <w:sz w:val="16"/>
          <w:szCs w:val="16"/>
        </w:rPr>
        <w:br/>
      </w:r>
      <w:r w:rsidRPr="002D49CA">
        <w:rPr>
          <w:rFonts w:cs="Arial"/>
          <w:sz w:val="16"/>
          <w:szCs w:val="16"/>
        </w:rPr>
        <w:t>Note C</w:t>
      </w:r>
      <w:r>
        <w:rPr>
          <w:rFonts w:cs="Arial"/>
          <w:sz w:val="16"/>
          <w:szCs w:val="16"/>
        </w:rPr>
        <w:t xml:space="preserve">6 </w:t>
      </w:r>
      <w:r w:rsidRPr="002D49CA">
        <w:rPr>
          <w:rFonts w:cs="Arial"/>
          <w:sz w:val="16"/>
          <w:szCs w:val="16"/>
        </w:rPr>
        <w:t>Accrued employee benefits</w:t>
      </w:r>
      <w:r w:rsidR="00164729">
        <w:rPr>
          <w:rFonts w:cs="Arial"/>
          <w:sz w:val="16"/>
          <w:szCs w:val="16"/>
        </w:rPr>
        <w:br/>
      </w:r>
      <w:r w:rsidRPr="002D49CA">
        <w:rPr>
          <w:rFonts w:cs="Arial"/>
          <w:sz w:val="16"/>
          <w:szCs w:val="16"/>
        </w:rPr>
        <w:t>Note D</w:t>
      </w:r>
      <w:r>
        <w:rPr>
          <w:rFonts w:cs="Arial"/>
          <w:sz w:val="16"/>
          <w:szCs w:val="16"/>
        </w:rPr>
        <w:t xml:space="preserve">2 </w:t>
      </w:r>
      <w:r w:rsidRPr="002D49CA">
        <w:rPr>
          <w:rFonts w:cs="Arial"/>
          <w:sz w:val="16"/>
          <w:szCs w:val="16"/>
        </w:rPr>
        <w:t xml:space="preserve">Financial risk </w:t>
      </w:r>
      <w:proofErr w:type="gramStart"/>
      <w:r w:rsidRPr="002D49CA">
        <w:rPr>
          <w:rFonts w:cs="Arial"/>
          <w:sz w:val="16"/>
          <w:szCs w:val="16"/>
        </w:rPr>
        <w:t>disclosures</w:t>
      </w:r>
      <w:proofErr w:type="gramEnd"/>
    </w:p>
    <w:p w14:paraId="73B94293" w14:textId="77777777" w:rsidR="00814B19" w:rsidRDefault="00814B19" w:rsidP="00814B19">
      <w:pPr>
        <w:spacing w:before="120" w:line="259" w:lineRule="auto"/>
        <w:rPr>
          <w:rFonts w:cs="Arial"/>
          <w:sz w:val="16"/>
          <w:szCs w:val="16"/>
        </w:rPr>
      </w:pPr>
      <w:r w:rsidRPr="002243FD">
        <w:rPr>
          <w:rFonts w:cs="Arial"/>
          <w:sz w:val="16"/>
          <w:szCs w:val="16"/>
        </w:rPr>
        <w:t>The value of goods and services received free or below fair value have been reflected in the department’s financial results if the value of the goods and services can be reliably determined and the goods and services would have been purchased if not donated.</w:t>
      </w:r>
    </w:p>
    <w:p w14:paraId="2030E73E" w14:textId="77777777" w:rsidR="00E81C34" w:rsidRDefault="00E81C34" w:rsidP="00814B19">
      <w:pPr>
        <w:spacing w:before="120" w:line="259" w:lineRule="auto"/>
        <w:rPr>
          <w:rFonts w:cs="Arial"/>
          <w:sz w:val="16"/>
          <w:szCs w:val="16"/>
        </w:rPr>
      </w:pPr>
    </w:p>
    <w:p w14:paraId="253BFE03" w14:textId="711EB17A" w:rsidR="00814B19" w:rsidRPr="00DD1828" w:rsidRDefault="00814B19" w:rsidP="00814B19">
      <w:pPr>
        <w:tabs>
          <w:tab w:val="left" w:pos="284"/>
        </w:tabs>
        <w:spacing w:before="120" w:line="259" w:lineRule="auto"/>
        <w:rPr>
          <w:rFonts w:cs="Arial"/>
          <w:b/>
          <w:color w:val="000000"/>
        </w:rPr>
      </w:pPr>
      <w:r w:rsidRPr="00DD1828">
        <w:rPr>
          <w:rFonts w:cs="Arial"/>
          <w:b/>
          <w:color w:val="000000"/>
          <w:sz w:val="18"/>
          <w:szCs w:val="18"/>
        </w:rPr>
        <w:t>A2</w:t>
      </w:r>
      <w:r w:rsidRPr="00DD1828">
        <w:rPr>
          <w:rFonts w:cs="Arial"/>
          <w:b/>
          <w:color w:val="000000"/>
          <w:sz w:val="18"/>
          <w:szCs w:val="18"/>
        </w:rPr>
        <w:tab/>
        <w:t xml:space="preserve">Objectives and Principal Activities of the Commission  </w:t>
      </w:r>
    </w:p>
    <w:p w14:paraId="098C6F44" w14:textId="77777777" w:rsidR="00814B19" w:rsidRPr="00E43C05" w:rsidRDefault="00814B19" w:rsidP="00814B19">
      <w:pPr>
        <w:pStyle w:val="BodyText"/>
        <w:spacing w:line="252" w:lineRule="auto"/>
        <w:rPr>
          <w:rFonts w:cs="Arial"/>
          <w:sz w:val="16"/>
          <w:szCs w:val="16"/>
        </w:rPr>
      </w:pPr>
      <w:r w:rsidRPr="00E43C05">
        <w:rPr>
          <w:rFonts w:cs="Arial"/>
          <w:sz w:val="16"/>
          <w:szCs w:val="16"/>
        </w:rPr>
        <w:lastRenderedPageBreak/>
        <w:t xml:space="preserve">The Commission’s vision is for a high performing, future focused public sector which will deliver the best outcomes for Queenslanders. The Commission’s role is to advise, connect, support and partner with Queensland Government agencies to enable them to deliver on the Government’s objectives for the community. </w:t>
      </w:r>
    </w:p>
    <w:p w14:paraId="6B9543B1" w14:textId="77777777" w:rsidR="00814B19" w:rsidRPr="00E43C05" w:rsidRDefault="00814B19" w:rsidP="00814B19">
      <w:pPr>
        <w:pStyle w:val="BodyText"/>
        <w:spacing w:line="252" w:lineRule="auto"/>
        <w:rPr>
          <w:rFonts w:cs="Arial"/>
          <w:sz w:val="16"/>
          <w:szCs w:val="16"/>
        </w:rPr>
      </w:pPr>
      <w:r w:rsidRPr="00E43C05">
        <w:rPr>
          <w:rFonts w:cs="Arial"/>
          <w:sz w:val="16"/>
          <w:szCs w:val="16"/>
        </w:rPr>
        <w:t>As a central agency, the Commission works in partnership with the Department of the Premier and Cabinet and Queensland Treasury to oversee continuous improvement of the sector and collaborates with all government agencies to achieve its vision. Its strategic objectives are to:</w:t>
      </w:r>
    </w:p>
    <w:p w14:paraId="5852BBC9"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support public sector agencies to effectively manage their </w:t>
      </w:r>
      <w:proofErr w:type="gramStart"/>
      <w:r w:rsidRPr="00E43C05">
        <w:rPr>
          <w:rFonts w:cs="Arial"/>
          <w:sz w:val="16"/>
          <w:szCs w:val="16"/>
        </w:rPr>
        <w:t>workforces</w:t>
      </w:r>
      <w:proofErr w:type="gramEnd"/>
      <w:r w:rsidRPr="00E43C05">
        <w:rPr>
          <w:rFonts w:cs="Arial"/>
          <w:sz w:val="16"/>
          <w:szCs w:val="16"/>
        </w:rPr>
        <w:t xml:space="preserve"> </w:t>
      </w:r>
    </w:p>
    <w:bookmarkEnd w:id="513"/>
    <w:p w14:paraId="78FAE9CE"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build a highly capable and responsive public sector </w:t>
      </w:r>
      <w:proofErr w:type="gramStart"/>
      <w:r w:rsidRPr="00E43C05">
        <w:rPr>
          <w:rFonts w:cs="Arial"/>
          <w:sz w:val="16"/>
          <w:szCs w:val="16"/>
        </w:rPr>
        <w:t>workforce</w:t>
      </w:r>
      <w:proofErr w:type="gramEnd"/>
      <w:r w:rsidRPr="00E43C05">
        <w:rPr>
          <w:rFonts w:cs="Arial"/>
          <w:sz w:val="16"/>
          <w:szCs w:val="16"/>
        </w:rPr>
        <w:t xml:space="preserve"> </w:t>
      </w:r>
    </w:p>
    <w:p w14:paraId="4CE8713B"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support the public sector to prepare for and respond to strategic workforce challenges. </w:t>
      </w:r>
    </w:p>
    <w:p w14:paraId="0C4CC5C5" w14:textId="517E810A" w:rsidR="00814B19" w:rsidRPr="00E43C05" w:rsidRDefault="00BC64A8" w:rsidP="00814B19">
      <w:pPr>
        <w:tabs>
          <w:tab w:val="left" w:pos="426"/>
        </w:tabs>
        <w:spacing w:before="120" w:line="252" w:lineRule="auto"/>
        <w:rPr>
          <w:rFonts w:cs="Arial"/>
          <w:sz w:val="16"/>
          <w:szCs w:val="16"/>
        </w:rPr>
      </w:pPr>
      <w:r>
        <w:rPr>
          <w:rFonts w:cs="Arial"/>
          <w:sz w:val="16"/>
          <w:szCs w:val="16"/>
        </w:rPr>
        <w:br/>
      </w:r>
      <w:r w:rsidR="00814B19" w:rsidRPr="00E43C05">
        <w:rPr>
          <w:rFonts w:cs="Arial"/>
          <w:sz w:val="16"/>
          <w:szCs w:val="16"/>
        </w:rPr>
        <w:t xml:space="preserve">The Commission contributes to the Government’s objectives for the community by: </w:t>
      </w:r>
    </w:p>
    <w:p w14:paraId="784BC82A"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leading the implementation of the new </w:t>
      </w:r>
      <w:r w:rsidRPr="00E43C05">
        <w:rPr>
          <w:rFonts w:cs="Arial"/>
          <w:i/>
          <w:iCs/>
          <w:sz w:val="16"/>
          <w:szCs w:val="16"/>
        </w:rPr>
        <w:t>Public Sector Act 2002</w:t>
      </w:r>
      <w:r w:rsidRPr="00E43C05">
        <w:rPr>
          <w:rFonts w:cs="Arial"/>
          <w:sz w:val="16"/>
          <w:szCs w:val="16"/>
        </w:rPr>
        <w:t xml:space="preserve"> for a fair and integrated public sector </w:t>
      </w:r>
    </w:p>
    <w:p w14:paraId="0E4AFCE8"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developing and review of the Public Sector Commission directives to support consistent application of the employment </w:t>
      </w:r>
      <w:proofErr w:type="gramStart"/>
      <w:r w:rsidRPr="00E43C05">
        <w:rPr>
          <w:rFonts w:cs="Arial"/>
          <w:sz w:val="16"/>
          <w:szCs w:val="16"/>
        </w:rPr>
        <w:t>framework</w:t>
      </w:r>
      <w:proofErr w:type="gramEnd"/>
    </w:p>
    <w:p w14:paraId="6DD4F751"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leading the development and implementation of a future-focused five-year sector-wide strategy to build a public sector of </w:t>
      </w:r>
      <w:proofErr w:type="gramStart"/>
      <w:r w:rsidRPr="00E43C05">
        <w:rPr>
          <w:rFonts w:cs="Arial"/>
          <w:sz w:val="16"/>
          <w:szCs w:val="16"/>
        </w:rPr>
        <w:t>excellence</w:t>
      </w:r>
      <w:proofErr w:type="gramEnd"/>
    </w:p>
    <w:p w14:paraId="1E20D09E"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leading sector-wide approaches to strategic talent acquisition to ensure Queensland Government is an employer of </w:t>
      </w:r>
      <w:proofErr w:type="gramStart"/>
      <w:r w:rsidRPr="00E43C05">
        <w:rPr>
          <w:rFonts w:cs="Arial"/>
          <w:sz w:val="16"/>
          <w:szCs w:val="16"/>
        </w:rPr>
        <w:t>choice</w:t>
      </w:r>
      <w:proofErr w:type="gramEnd"/>
    </w:p>
    <w:p w14:paraId="6BF01057" w14:textId="77777777" w:rsidR="00814B19" w:rsidRPr="00E43C05" w:rsidRDefault="00814B19" w:rsidP="00F61D85">
      <w:pPr>
        <w:pStyle w:val="ListBullet"/>
        <w:numPr>
          <w:ilvl w:val="0"/>
          <w:numId w:val="16"/>
        </w:numPr>
        <w:tabs>
          <w:tab w:val="left" w:pos="284"/>
        </w:tabs>
        <w:spacing w:before="120" w:after="0" w:line="252" w:lineRule="auto"/>
        <w:ind w:left="0" w:firstLine="0"/>
        <w:rPr>
          <w:rFonts w:cs="Arial"/>
          <w:sz w:val="16"/>
          <w:szCs w:val="16"/>
        </w:rPr>
      </w:pPr>
      <w:r w:rsidRPr="00E43C05">
        <w:rPr>
          <w:rFonts w:cs="Arial"/>
          <w:sz w:val="16"/>
          <w:szCs w:val="16"/>
        </w:rPr>
        <w:t xml:space="preserve">improving strategic workforce planning capability to ensure the sector is responsive and prepared to meet future </w:t>
      </w:r>
      <w:proofErr w:type="gramStart"/>
      <w:r w:rsidRPr="00E43C05">
        <w:rPr>
          <w:rFonts w:cs="Arial"/>
          <w:sz w:val="16"/>
          <w:szCs w:val="16"/>
        </w:rPr>
        <w:t>challenges</w:t>
      </w:r>
      <w:proofErr w:type="gramEnd"/>
    </w:p>
    <w:p w14:paraId="73AFDCBA" w14:textId="77777777" w:rsidR="00814B19" w:rsidRPr="00E43C05" w:rsidRDefault="00814B19" w:rsidP="00F61D85">
      <w:pPr>
        <w:pStyle w:val="ListBullet"/>
        <w:numPr>
          <w:ilvl w:val="0"/>
          <w:numId w:val="16"/>
        </w:numPr>
        <w:tabs>
          <w:tab w:val="left" w:pos="284"/>
        </w:tabs>
        <w:spacing w:before="120" w:after="0" w:line="252" w:lineRule="auto"/>
        <w:ind w:left="284" w:hanging="284"/>
        <w:rPr>
          <w:rFonts w:cs="Arial"/>
          <w:sz w:val="16"/>
          <w:szCs w:val="16"/>
        </w:rPr>
      </w:pPr>
      <w:r w:rsidRPr="00E43C05">
        <w:rPr>
          <w:rFonts w:cs="Arial"/>
          <w:sz w:val="16"/>
          <w:szCs w:val="16"/>
        </w:rPr>
        <w:t>driving increased cultural capability and cultural safety across the sector through policy settings and program delivery, to help reframe the Queensland Government’s relationship with Aboriginal peoples and Torres Strait Islander peoples</w:t>
      </w:r>
      <w:r>
        <w:rPr>
          <w:rFonts w:cs="Arial"/>
          <w:sz w:val="16"/>
          <w:szCs w:val="16"/>
        </w:rPr>
        <w:t xml:space="preserve">, being Australia’s first </w:t>
      </w:r>
      <w:proofErr w:type="gramStart"/>
      <w:r>
        <w:rPr>
          <w:rFonts w:cs="Arial"/>
          <w:sz w:val="16"/>
          <w:szCs w:val="16"/>
        </w:rPr>
        <w:t>peoples</w:t>
      </w:r>
      <w:proofErr w:type="gramEnd"/>
    </w:p>
    <w:p w14:paraId="3CB3C6FA" w14:textId="77777777" w:rsidR="00814B19" w:rsidRPr="00E43C05" w:rsidRDefault="00814B19" w:rsidP="00F61D85">
      <w:pPr>
        <w:pStyle w:val="ListBullet"/>
        <w:numPr>
          <w:ilvl w:val="0"/>
          <w:numId w:val="16"/>
        </w:numPr>
        <w:tabs>
          <w:tab w:val="left" w:pos="284"/>
        </w:tabs>
        <w:spacing w:before="120" w:after="0" w:line="252" w:lineRule="auto"/>
        <w:ind w:left="284" w:hanging="284"/>
        <w:rPr>
          <w:rFonts w:cs="Arial"/>
          <w:sz w:val="16"/>
          <w:szCs w:val="16"/>
        </w:rPr>
      </w:pPr>
      <w:r w:rsidRPr="00E43C05">
        <w:rPr>
          <w:rFonts w:cs="Arial"/>
          <w:sz w:val="16"/>
          <w:szCs w:val="16"/>
        </w:rPr>
        <w:t xml:space="preserve">investing in programs and initiatives that build workplace cultures and practices where all employees feel safe, </w:t>
      </w:r>
      <w:proofErr w:type="gramStart"/>
      <w:r w:rsidRPr="00E43C05">
        <w:rPr>
          <w:rFonts w:cs="Arial"/>
          <w:sz w:val="16"/>
          <w:szCs w:val="16"/>
        </w:rPr>
        <w:t>respected</w:t>
      </w:r>
      <w:proofErr w:type="gramEnd"/>
      <w:r w:rsidRPr="00E43C05">
        <w:rPr>
          <w:rFonts w:cs="Arial"/>
          <w:sz w:val="16"/>
          <w:szCs w:val="16"/>
        </w:rPr>
        <w:t xml:space="preserve"> and included</w:t>
      </w:r>
      <w:r>
        <w:rPr>
          <w:rFonts w:cs="Arial"/>
          <w:sz w:val="16"/>
          <w:szCs w:val="16"/>
        </w:rPr>
        <w:t>.</w:t>
      </w:r>
    </w:p>
    <w:p w14:paraId="57E544F4" w14:textId="77777777" w:rsidR="00814B19" w:rsidRPr="005F412C" w:rsidRDefault="00814B19" w:rsidP="00814B19">
      <w:pPr>
        <w:spacing w:before="120" w:line="252" w:lineRule="auto"/>
        <w:rPr>
          <w:rFonts w:cs="Arial"/>
          <w:sz w:val="16"/>
          <w:szCs w:val="16"/>
        </w:rPr>
      </w:pPr>
      <w:r w:rsidRPr="005F412C">
        <w:rPr>
          <w:rFonts w:cs="Arial"/>
          <w:sz w:val="16"/>
          <w:szCs w:val="16"/>
        </w:rPr>
        <w:t xml:space="preserve">The </w:t>
      </w:r>
      <w:r w:rsidRPr="00803F37">
        <w:rPr>
          <w:rFonts w:cs="Arial"/>
          <w:i/>
          <w:iCs/>
          <w:sz w:val="16"/>
          <w:szCs w:val="16"/>
        </w:rPr>
        <w:t>Public Sector Act 2022 (the Act)</w:t>
      </w:r>
      <w:r w:rsidRPr="005F412C">
        <w:rPr>
          <w:rFonts w:cs="Arial"/>
          <w:sz w:val="16"/>
          <w:szCs w:val="16"/>
        </w:rPr>
        <w:t xml:space="preserve">, which commenced on 1 March 2023, replaced the </w:t>
      </w:r>
      <w:r w:rsidRPr="00803F37">
        <w:rPr>
          <w:rFonts w:cs="Arial"/>
          <w:i/>
          <w:iCs/>
          <w:sz w:val="16"/>
          <w:szCs w:val="16"/>
        </w:rPr>
        <w:t>Public Service Act 2008 (PS Act)</w:t>
      </w:r>
      <w:r w:rsidRPr="005F412C">
        <w:rPr>
          <w:rFonts w:cs="Arial"/>
          <w:sz w:val="16"/>
          <w:szCs w:val="16"/>
        </w:rPr>
        <w:t xml:space="preserve"> to create a </w:t>
      </w:r>
      <w:r w:rsidRPr="0017366C">
        <w:rPr>
          <w:rFonts w:cs="Arial"/>
          <w:sz w:val="16"/>
          <w:szCs w:val="16"/>
        </w:rPr>
        <w:t xml:space="preserve">modern, employee focused legislative framework for </w:t>
      </w:r>
      <w:r w:rsidRPr="005F412C">
        <w:rPr>
          <w:rFonts w:cs="Arial"/>
          <w:sz w:val="16"/>
          <w:szCs w:val="16"/>
        </w:rPr>
        <w:t xml:space="preserve">the broader public sector, which consists of the public service and other public sector entities. </w:t>
      </w:r>
    </w:p>
    <w:p w14:paraId="11932035" w14:textId="77777777" w:rsidR="00814B19" w:rsidRPr="0017366C" w:rsidRDefault="00814B19" w:rsidP="00814B19">
      <w:pPr>
        <w:spacing w:before="120" w:line="252" w:lineRule="auto"/>
        <w:rPr>
          <w:rFonts w:cs="Arial"/>
          <w:sz w:val="16"/>
          <w:szCs w:val="16"/>
        </w:rPr>
      </w:pPr>
      <w:r w:rsidRPr="0017366C">
        <w:rPr>
          <w:rFonts w:cs="Arial"/>
          <w:sz w:val="16"/>
          <w:szCs w:val="16"/>
        </w:rPr>
        <w:t>The Act expands the application of employment arrangements, which under the PS Act applied to public service employees, so that arrangements now apply to the broader public sector.</w:t>
      </w:r>
    </w:p>
    <w:p w14:paraId="54474361" w14:textId="727481FB" w:rsidR="00814B19" w:rsidRPr="0017366C" w:rsidRDefault="00814B19" w:rsidP="00814B19">
      <w:pPr>
        <w:spacing w:before="120" w:line="252" w:lineRule="auto"/>
        <w:rPr>
          <w:rFonts w:cs="Arial"/>
          <w:sz w:val="16"/>
          <w:szCs w:val="16"/>
        </w:rPr>
      </w:pPr>
      <w:r>
        <w:rPr>
          <w:rFonts w:cs="Arial"/>
          <w:sz w:val="16"/>
          <w:szCs w:val="16"/>
        </w:rPr>
        <w:t xml:space="preserve">The Public Service Commission, established under the repealed PS Act continues </w:t>
      </w:r>
      <w:r w:rsidRPr="0017366C">
        <w:rPr>
          <w:rFonts w:cs="Arial"/>
          <w:sz w:val="16"/>
          <w:szCs w:val="16"/>
        </w:rPr>
        <w:t xml:space="preserve">as the Public Sector Commission and recognises its expanded role in relation to whole-of sector governance, </w:t>
      </w:r>
      <w:proofErr w:type="gramStart"/>
      <w:r w:rsidRPr="0017366C">
        <w:rPr>
          <w:rFonts w:cs="Arial"/>
          <w:sz w:val="16"/>
          <w:szCs w:val="16"/>
        </w:rPr>
        <w:t>accountability</w:t>
      </w:r>
      <w:proofErr w:type="gramEnd"/>
      <w:r w:rsidRPr="0017366C">
        <w:rPr>
          <w:rFonts w:cs="Arial"/>
          <w:sz w:val="16"/>
          <w:szCs w:val="16"/>
        </w:rPr>
        <w:t xml:space="preserve"> and performance, and is a not-for-profit entity controlled by the State of Queensland. </w:t>
      </w:r>
    </w:p>
    <w:p w14:paraId="4CF0CDEF" w14:textId="77777777" w:rsidR="00814B19" w:rsidRPr="00E43C05" w:rsidRDefault="00814B19" w:rsidP="00814B19">
      <w:pPr>
        <w:spacing w:before="120" w:line="252" w:lineRule="auto"/>
        <w:rPr>
          <w:rFonts w:cs="Arial"/>
          <w:sz w:val="16"/>
          <w:szCs w:val="16"/>
        </w:rPr>
      </w:pPr>
      <w:r w:rsidRPr="00E43C05">
        <w:rPr>
          <w:rFonts w:cs="Arial"/>
          <w:sz w:val="16"/>
          <w:szCs w:val="16"/>
        </w:rPr>
        <w:t xml:space="preserve">The head office and principal place of business </w:t>
      </w:r>
      <w:proofErr w:type="gramStart"/>
      <w:r w:rsidRPr="00E43C05">
        <w:rPr>
          <w:rFonts w:cs="Arial"/>
          <w:sz w:val="16"/>
          <w:szCs w:val="16"/>
        </w:rPr>
        <w:t>is:</w:t>
      </w:r>
      <w:proofErr w:type="gramEnd"/>
      <w:r w:rsidRPr="00E43C05">
        <w:rPr>
          <w:rFonts w:cs="Arial"/>
          <w:sz w:val="16"/>
          <w:szCs w:val="16"/>
        </w:rPr>
        <w:t xml:space="preserve"> Level 27, 1 William Street, Brisbane QLD 4000.</w:t>
      </w:r>
    </w:p>
    <w:p w14:paraId="4D1920AA" w14:textId="77777777" w:rsidR="00814B19" w:rsidRDefault="00814B19" w:rsidP="00814B19">
      <w:pPr>
        <w:spacing w:before="120" w:line="252" w:lineRule="auto"/>
        <w:rPr>
          <w:rFonts w:cs="Arial"/>
          <w:sz w:val="16"/>
          <w:szCs w:val="16"/>
        </w:rPr>
      </w:pPr>
      <w:r w:rsidRPr="00E43C05">
        <w:rPr>
          <w:rFonts w:cs="Arial"/>
          <w:sz w:val="16"/>
          <w:szCs w:val="16"/>
        </w:rPr>
        <w:t xml:space="preserve">For information in relation to the Commission’s financial report please call (07) 3003 2800, email </w:t>
      </w:r>
      <w:hyperlink r:id="rId44" w:history="1">
        <w:r w:rsidRPr="00035372">
          <w:rPr>
            <w:rStyle w:val="Hyperlink"/>
            <w:rFonts w:cs="Arial"/>
            <w:b w:val="0"/>
            <w:sz w:val="16"/>
            <w:szCs w:val="16"/>
          </w:rPr>
          <w:t>commission.psc@psc.qld.gov.au</w:t>
        </w:r>
      </w:hyperlink>
      <w:r w:rsidRPr="00E43C05">
        <w:rPr>
          <w:rFonts w:cs="Arial"/>
          <w:sz w:val="16"/>
          <w:szCs w:val="16"/>
        </w:rPr>
        <w:t xml:space="preserve"> or visit the Commission’s Internet site </w:t>
      </w:r>
      <w:hyperlink r:id="rId45" w:history="1">
        <w:r w:rsidRPr="00035372">
          <w:rPr>
            <w:rStyle w:val="Hyperlink"/>
            <w:rFonts w:cs="Arial"/>
            <w:b w:val="0"/>
            <w:sz w:val="16"/>
            <w:szCs w:val="16"/>
          </w:rPr>
          <w:t>www.psc.qld.gov.au</w:t>
        </w:r>
      </w:hyperlink>
      <w:r w:rsidRPr="00E43C05">
        <w:rPr>
          <w:rFonts w:cs="Arial"/>
          <w:sz w:val="16"/>
          <w:szCs w:val="16"/>
        </w:rPr>
        <w:t>.</w:t>
      </w:r>
    </w:p>
    <w:p w14:paraId="08DCD4C6" w14:textId="0410D7E1" w:rsidR="00353ED4" w:rsidRPr="00782868" w:rsidRDefault="00814B19" w:rsidP="00782868">
      <w:pPr>
        <w:spacing w:before="120" w:line="252" w:lineRule="auto"/>
        <w:rPr>
          <w:rFonts w:cs="Arial"/>
          <w:sz w:val="16"/>
          <w:szCs w:val="16"/>
        </w:rPr>
      </w:pPr>
      <w:r>
        <w:rPr>
          <w:rFonts w:cs="Arial"/>
          <w:sz w:val="16"/>
          <w:szCs w:val="16"/>
        </w:rPr>
        <w:t xml:space="preserve">These financial results also include the Office of the Queensland Integrity Commissioner. Please refer to the annual report for further information (accessible via </w:t>
      </w:r>
      <w:hyperlink r:id="rId46" w:history="1">
        <w:r w:rsidRPr="00035372">
          <w:rPr>
            <w:rStyle w:val="Hyperlink"/>
            <w:rFonts w:cs="Arial"/>
            <w:b w:val="0"/>
            <w:sz w:val="16"/>
            <w:szCs w:val="16"/>
          </w:rPr>
          <w:t>https://www.integrity.qld.gov.au/publications/annual-reports.aspx</w:t>
        </w:r>
      </w:hyperlink>
      <w:r w:rsidRPr="00035372">
        <w:rPr>
          <w:rFonts w:cs="Arial"/>
          <w:sz w:val="16"/>
          <w:szCs w:val="16"/>
        </w:rPr>
        <w:t>).</w:t>
      </w:r>
    </w:p>
    <w:p w14:paraId="70727C91" w14:textId="77777777" w:rsidR="00353ED4" w:rsidRDefault="00353ED4">
      <w:pPr>
        <w:rPr>
          <w:rFonts w:ascii="ArialMT" w:eastAsia="SimSun" w:hAnsi="ArialMT" w:cs="ArialMT"/>
          <w:sz w:val="24"/>
          <w:szCs w:val="24"/>
          <w:lang w:eastAsia="en-AU"/>
        </w:rPr>
      </w:pPr>
      <w:r>
        <w:rPr>
          <w:rFonts w:ascii="ArialMT" w:eastAsia="SimSun" w:hAnsi="ArialMT" w:cs="ArialMT"/>
          <w:sz w:val="24"/>
          <w:szCs w:val="24"/>
          <w:lang w:eastAsia="en-AU"/>
        </w:rPr>
        <w:br w:type="page"/>
      </w:r>
    </w:p>
    <w:p w14:paraId="5B4044A7" w14:textId="77777777" w:rsidR="00353325" w:rsidRPr="001510B5" w:rsidRDefault="00353325" w:rsidP="00C71160">
      <w:pPr>
        <w:pStyle w:val="PSCHeading2"/>
      </w:pPr>
      <w:bookmarkStart w:id="514" w:name="_Toc145672765"/>
      <w:bookmarkStart w:id="515" w:name="_Toc145673163"/>
      <w:bookmarkStart w:id="516" w:name="_Toc145926993"/>
      <w:r>
        <w:lastRenderedPageBreak/>
        <w:t xml:space="preserve">Section B: </w:t>
      </w:r>
      <w:r w:rsidRPr="00196AAA">
        <w:t>Notes about our Financial Performance</w:t>
      </w:r>
      <w:bookmarkEnd w:id="514"/>
      <w:bookmarkEnd w:id="515"/>
      <w:bookmarkEnd w:id="516"/>
    </w:p>
    <w:p w14:paraId="1EEECD50" w14:textId="77777777" w:rsidR="007F0DD9" w:rsidRDefault="007F0DD9" w:rsidP="007F0DD9">
      <w:pPr>
        <w:rPr>
          <w:rFonts w:cs="Arial"/>
          <w:b/>
          <w:bCs/>
          <w:sz w:val="18"/>
          <w:szCs w:val="18"/>
        </w:rPr>
      </w:pPr>
      <w:r>
        <w:rPr>
          <w:rFonts w:cs="Arial"/>
          <w:b/>
          <w:bCs/>
          <w:sz w:val="18"/>
          <w:szCs w:val="18"/>
        </w:rPr>
        <w:t>B</w:t>
      </w:r>
      <w:r w:rsidRPr="00196AAA">
        <w:rPr>
          <w:rFonts w:cs="Arial"/>
          <w:b/>
          <w:bCs/>
          <w:sz w:val="18"/>
          <w:szCs w:val="18"/>
        </w:rPr>
        <w:t>1 Revenue</w:t>
      </w:r>
    </w:p>
    <w:p w14:paraId="50806525" w14:textId="34A1702D" w:rsidR="00BA63F2" w:rsidRPr="00196AAA" w:rsidRDefault="003B4964" w:rsidP="006E739C">
      <w:pPr>
        <w:rPr>
          <w:rFonts w:cs="Arial"/>
          <w:bCs/>
          <w:sz w:val="16"/>
          <w:szCs w:val="16"/>
        </w:rPr>
      </w:pPr>
      <w:r>
        <w:rPr>
          <w:rFonts w:cs="Arial"/>
          <w:b/>
          <w:bCs/>
          <w:sz w:val="18"/>
          <w:szCs w:val="18"/>
        </w:rPr>
        <w:pict w14:anchorId="7AD500F3">
          <v:shape id="_x0000_i1030" type="#_x0000_t75" alt="Table showing appropriation revenue." style="width:478.9pt;height:208.5pt;mso-position-horizontal:center">
            <v:imagedata r:id="rId47" o:title=""/>
          </v:shape>
        </w:pict>
      </w:r>
      <w:r w:rsidR="006B538D">
        <w:rPr>
          <w:rFonts w:cs="Arial"/>
          <w:b/>
          <w:bCs/>
          <w:sz w:val="18"/>
          <w:szCs w:val="18"/>
        </w:rPr>
        <w:br/>
      </w:r>
      <w:r w:rsidR="006B538D">
        <w:rPr>
          <w:rFonts w:cs="Arial"/>
          <w:b/>
          <w:bCs/>
          <w:sz w:val="18"/>
          <w:szCs w:val="18"/>
        </w:rPr>
        <w:br/>
      </w:r>
      <w:r w:rsidR="00BA63F2" w:rsidRPr="00196AAA">
        <w:rPr>
          <w:rFonts w:cs="Arial"/>
          <w:bCs/>
          <w:sz w:val="16"/>
          <w:szCs w:val="16"/>
        </w:rPr>
        <w:t xml:space="preserve">Appropriations provided under the </w:t>
      </w:r>
      <w:r w:rsidR="00BA63F2" w:rsidRPr="00196AAA">
        <w:rPr>
          <w:rFonts w:cs="Arial"/>
          <w:bCs/>
          <w:i/>
          <w:iCs/>
          <w:sz w:val="16"/>
          <w:szCs w:val="16"/>
        </w:rPr>
        <w:t>Appropriation Act 202</w:t>
      </w:r>
      <w:r w:rsidR="00BA63F2">
        <w:rPr>
          <w:rFonts w:cs="Arial"/>
          <w:bCs/>
          <w:i/>
          <w:iCs/>
          <w:sz w:val="16"/>
          <w:szCs w:val="16"/>
        </w:rPr>
        <w:t>2</w:t>
      </w:r>
      <w:r w:rsidR="00BA63F2" w:rsidRPr="00196AAA">
        <w:rPr>
          <w:rFonts w:cs="Arial"/>
          <w:bCs/>
          <w:sz w:val="16"/>
          <w:szCs w:val="16"/>
        </w:rPr>
        <w:t xml:space="preserve"> are recognised as revenue when received. Where the Commission has an obligation to return unspent (or unapplied) appropriation receipts to Consolidated Fund at year end (a deferred appropriation repayable to Consolidated Fund), a liability is recognised with a corresponding reduction to</w:t>
      </w:r>
      <w:r w:rsidR="00BA63F2">
        <w:rPr>
          <w:rFonts w:cs="Arial"/>
          <w:bCs/>
          <w:sz w:val="16"/>
          <w:szCs w:val="16"/>
        </w:rPr>
        <w:t xml:space="preserve"> </w:t>
      </w:r>
      <w:r w:rsidR="00BA63F2" w:rsidRPr="00196AAA">
        <w:rPr>
          <w:rFonts w:cs="Arial"/>
          <w:bCs/>
          <w:sz w:val="16"/>
          <w:szCs w:val="16"/>
        </w:rPr>
        <w:t>appropriation revenue, reflecting the net appropriation revenue position with Consolidated Fund for the reporting period</w:t>
      </w:r>
      <w:r w:rsidR="00BA63F2">
        <w:rPr>
          <w:rFonts w:cs="Arial"/>
          <w:bCs/>
          <w:sz w:val="16"/>
          <w:szCs w:val="16"/>
        </w:rPr>
        <w:t>.</w:t>
      </w:r>
      <w:r w:rsidR="00BA63F2" w:rsidRPr="00196AAA">
        <w:rPr>
          <w:rFonts w:cs="Arial"/>
          <w:bCs/>
          <w:sz w:val="16"/>
          <w:szCs w:val="16"/>
        </w:rPr>
        <w:t xml:space="preserve"> </w:t>
      </w:r>
    </w:p>
    <w:p w14:paraId="68B51E98" w14:textId="243ECA62" w:rsidR="00BA63F2" w:rsidRDefault="003B4964" w:rsidP="00BA63F2">
      <w:pPr>
        <w:tabs>
          <w:tab w:val="left" w:pos="142"/>
          <w:tab w:val="left" w:pos="709"/>
        </w:tabs>
        <w:autoSpaceDE w:val="0"/>
        <w:autoSpaceDN w:val="0"/>
        <w:adjustRightInd w:val="0"/>
        <w:spacing w:line="259" w:lineRule="auto"/>
        <w:rPr>
          <w:rFonts w:cs="Arial"/>
          <w:bCs/>
          <w:sz w:val="16"/>
          <w:szCs w:val="16"/>
        </w:rPr>
      </w:pPr>
      <w:r>
        <w:rPr>
          <w:rFonts w:cs="Arial"/>
          <w:bCs/>
          <w:sz w:val="16"/>
          <w:szCs w:val="16"/>
        </w:rPr>
        <w:pict w14:anchorId="5D85DDAB">
          <v:shape id="_x0000_i1031" type="#_x0000_t75" alt="Table showing grants and other contributions." style="width:482.25pt;height:82.5pt;mso-position-horizontal:center">
            <v:imagedata r:id="rId48" o:title=""/>
          </v:shape>
        </w:pict>
      </w:r>
    </w:p>
    <w:p w14:paraId="15B61D46" w14:textId="0373466C" w:rsidR="00BA63F2" w:rsidRDefault="00BA63F2" w:rsidP="00BA63F2">
      <w:pPr>
        <w:tabs>
          <w:tab w:val="left" w:pos="0"/>
          <w:tab w:val="left" w:pos="709"/>
        </w:tabs>
        <w:autoSpaceDE w:val="0"/>
        <w:autoSpaceDN w:val="0"/>
        <w:adjustRightInd w:val="0"/>
        <w:spacing w:line="259" w:lineRule="auto"/>
        <w:rPr>
          <w:rFonts w:cs="Arial"/>
          <w:sz w:val="16"/>
          <w:szCs w:val="16"/>
        </w:rPr>
      </w:pPr>
      <w:r w:rsidRPr="00337C07">
        <w:rPr>
          <w:rFonts w:cs="Arial"/>
          <w:sz w:val="16"/>
          <w:szCs w:val="16"/>
        </w:rPr>
        <w:t xml:space="preserve">Contributions revenue arise from non-exchange transactions where the </w:t>
      </w:r>
      <w:r>
        <w:rPr>
          <w:rFonts w:cs="Arial"/>
          <w:sz w:val="16"/>
          <w:szCs w:val="16"/>
        </w:rPr>
        <w:t>Commission</w:t>
      </w:r>
      <w:r w:rsidRPr="00337C07">
        <w:rPr>
          <w:rFonts w:cs="Arial"/>
          <w:sz w:val="16"/>
          <w:szCs w:val="16"/>
        </w:rPr>
        <w:t xml:space="preserve"> does not directly give approximately equal value to the grantor.</w:t>
      </w:r>
    </w:p>
    <w:p w14:paraId="04DFD971" w14:textId="70C37F4D" w:rsidR="00BA63F2" w:rsidRPr="00BA63F2" w:rsidRDefault="00BA63F2" w:rsidP="00BA63F2">
      <w:pPr>
        <w:tabs>
          <w:tab w:val="left" w:pos="0"/>
        </w:tabs>
        <w:autoSpaceDE w:val="0"/>
        <w:autoSpaceDN w:val="0"/>
        <w:adjustRightInd w:val="0"/>
        <w:rPr>
          <w:rFonts w:cs="Arial"/>
          <w:sz w:val="16"/>
          <w:szCs w:val="16"/>
        </w:rPr>
      </w:pPr>
      <w:r>
        <w:rPr>
          <w:rFonts w:cs="Arial"/>
          <w:sz w:val="16"/>
          <w:szCs w:val="16"/>
        </w:rPr>
        <w:t>T</w:t>
      </w:r>
      <w:r w:rsidRPr="00337C07">
        <w:rPr>
          <w:rFonts w:cs="Arial"/>
          <w:sz w:val="16"/>
          <w:szCs w:val="16"/>
        </w:rPr>
        <w:t xml:space="preserve">he </w:t>
      </w:r>
      <w:r>
        <w:rPr>
          <w:rFonts w:cs="Arial"/>
          <w:sz w:val="16"/>
          <w:szCs w:val="16"/>
        </w:rPr>
        <w:t xml:space="preserve">contributions are </w:t>
      </w:r>
      <w:r w:rsidRPr="00337C07">
        <w:rPr>
          <w:rFonts w:cs="Arial"/>
          <w:sz w:val="16"/>
          <w:szCs w:val="16"/>
        </w:rPr>
        <w:t xml:space="preserve">accounted for under AASB 1058 </w:t>
      </w:r>
      <w:r w:rsidRPr="00DF6A20">
        <w:rPr>
          <w:rFonts w:cs="Arial"/>
          <w:i/>
          <w:iCs/>
          <w:sz w:val="16"/>
          <w:szCs w:val="16"/>
        </w:rPr>
        <w:t>Income of Not-for-Profit Entities</w:t>
      </w:r>
      <w:r w:rsidRPr="00337C07">
        <w:rPr>
          <w:rFonts w:cs="Arial"/>
          <w:sz w:val="16"/>
          <w:szCs w:val="16"/>
        </w:rPr>
        <w:t xml:space="preserve">, whereby revenue is recognised upon receipt of the </w:t>
      </w:r>
      <w:r>
        <w:rPr>
          <w:rFonts w:cs="Arial"/>
          <w:sz w:val="16"/>
          <w:szCs w:val="16"/>
        </w:rPr>
        <w:t>contribution</w:t>
      </w:r>
      <w:r w:rsidRPr="00337C07">
        <w:rPr>
          <w:rFonts w:cs="Arial"/>
          <w:sz w:val="16"/>
          <w:szCs w:val="16"/>
        </w:rPr>
        <w:t xml:space="preserve"> funding</w:t>
      </w:r>
      <w:r>
        <w:rPr>
          <w:rFonts w:cs="Arial"/>
          <w:sz w:val="16"/>
          <w:szCs w:val="16"/>
        </w:rPr>
        <w:t>.</w:t>
      </w:r>
    </w:p>
    <w:p w14:paraId="5904066C" w14:textId="2E9121D2" w:rsidR="00BA63F2" w:rsidRDefault="00BA63F2" w:rsidP="00BA63F2">
      <w:pPr>
        <w:tabs>
          <w:tab w:val="left" w:pos="0"/>
        </w:tabs>
        <w:autoSpaceDE w:val="0"/>
        <w:autoSpaceDN w:val="0"/>
        <w:adjustRightInd w:val="0"/>
        <w:rPr>
          <w:rFonts w:cs="Arial"/>
          <w:sz w:val="16"/>
          <w:szCs w:val="16"/>
        </w:rPr>
      </w:pPr>
      <w:r w:rsidRPr="00337C07">
        <w:rPr>
          <w:rFonts w:cs="Arial"/>
          <w:sz w:val="16"/>
          <w:szCs w:val="16"/>
        </w:rPr>
        <w:t>Contributions from Queensland Government departments are related party transactions</w:t>
      </w:r>
      <w:r>
        <w:rPr>
          <w:rFonts w:cs="Arial"/>
          <w:sz w:val="16"/>
          <w:szCs w:val="16"/>
        </w:rPr>
        <w:t>.</w:t>
      </w:r>
    </w:p>
    <w:p w14:paraId="1A0A2B44" w14:textId="7394C9B5" w:rsidR="00BA63F2" w:rsidRDefault="00BA63F2" w:rsidP="00BA63F2">
      <w:pPr>
        <w:tabs>
          <w:tab w:val="left" w:pos="0"/>
        </w:tabs>
        <w:autoSpaceDE w:val="0"/>
        <w:autoSpaceDN w:val="0"/>
        <w:adjustRightInd w:val="0"/>
        <w:rPr>
          <w:rFonts w:cs="Arial"/>
          <w:sz w:val="16"/>
          <w:szCs w:val="16"/>
        </w:rPr>
      </w:pPr>
      <w:r w:rsidRPr="006F0FDB">
        <w:rPr>
          <w:rFonts w:cs="Arial"/>
          <w:sz w:val="16"/>
          <w:szCs w:val="16"/>
          <w:vertAlign w:val="superscript"/>
        </w:rPr>
        <w:t>(</w:t>
      </w:r>
      <w:proofErr w:type="gramStart"/>
      <w:r w:rsidRPr="006F0FDB">
        <w:rPr>
          <w:rFonts w:cs="Arial"/>
          <w:sz w:val="16"/>
          <w:szCs w:val="16"/>
          <w:vertAlign w:val="superscript"/>
        </w:rPr>
        <w:t>1)</w:t>
      </w:r>
      <w:r w:rsidRPr="006F0FDB">
        <w:rPr>
          <w:rFonts w:cs="Arial"/>
          <w:sz w:val="16"/>
          <w:szCs w:val="16"/>
        </w:rPr>
        <w:t>The</w:t>
      </w:r>
      <w:proofErr w:type="gramEnd"/>
      <w:r w:rsidRPr="006F0FDB">
        <w:rPr>
          <w:rFonts w:cs="Arial"/>
          <w:sz w:val="16"/>
          <w:szCs w:val="16"/>
        </w:rPr>
        <w:t xml:space="preserve"> </w:t>
      </w:r>
      <w:r>
        <w:rPr>
          <w:rFonts w:cs="Arial"/>
          <w:sz w:val="16"/>
          <w:szCs w:val="16"/>
        </w:rPr>
        <w:t>Commission</w:t>
      </w:r>
      <w:r w:rsidRPr="006F0FDB">
        <w:rPr>
          <w:rFonts w:cs="Arial"/>
          <w:sz w:val="16"/>
          <w:szCs w:val="16"/>
        </w:rPr>
        <w:t xml:space="preserve"> recognises goods/services received below fair value only if the services would have been purchased if they had not been donated and their value can be measured reliably. Where this is the case, an equal amount is recognised as revenue with a corresponding expense.</w:t>
      </w:r>
      <w:r>
        <w:rPr>
          <w:rFonts w:cs="Arial"/>
          <w:sz w:val="16"/>
          <w:szCs w:val="16"/>
        </w:rPr>
        <w:t xml:space="preserve"> </w:t>
      </w:r>
    </w:p>
    <w:p w14:paraId="132A9E9B" w14:textId="77777777" w:rsidR="00BA63F2" w:rsidRDefault="00BA63F2" w:rsidP="00BA63F2">
      <w:pPr>
        <w:tabs>
          <w:tab w:val="left" w:pos="0"/>
        </w:tabs>
        <w:autoSpaceDE w:val="0"/>
        <w:autoSpaceDN w:val="0"/>
        <w:adjustRightInd w:val="0"/>
        <w:rPr>
          <w:rFonts w:cs="Arial"/>
          <w:sz w:val="16"/>
          <w:szCs w:val="16"/>
        </w:rPr>
      </w:pPr>
      <w:r>
        <w:rPr>
          <w:rFonts w:cs="Arial"/>
          <w:sz w:val="16"/>
          <w:szCs w:val="16"/>
        </w:rPr>
        <w:t>The Commission receives employee related support provided free of charge from:</w:t>
      </w:r>
    </w:p>
    <w:p w14:paraId="65135E0C" w14:textId="77777777" w:rsidR="00BA63F2" w:rsidRDefault="00BA63F2" w:rsidP="00F61D85">
      <w:pPr>
        <w:numPr>
          <w:ilvl w:val="0"/>
          <w:numId w:val="17"/>
        </w:numPr>
        <w:tabs>
          <w:tab w:val="left" w:pos="284"/>
        </w:tabs>
        <w:autoSpaceDE w:val="0"/>
        <w:autoSpaceDN w:val="0"/>
        <w:adjustRightInd w:val="0"/>
        <w:spacing w:after="0" w:line="240" w:lineRule="auto"/>
        <w:ind w:left="284" w:hanging="284"/>
        <w:rPr>
          <w:rFonts w:cs="Arial"/>
          <w:sz w:val="16"/>
          <w:szCs w:val="16"/>
        </w:rPr>
      </w:pPr>
      <w:r>
        <w:rPr>
          <w:rFonts w:cs="Arial"/>
          <w:sz w:val="16"/>
          <w:szCs w:val="16"/>
        </w:rPr>
        <w:t xml:space="preserve">Queensland Heath and Department of Education for the Office of the Special Commissioner, Equity and </w:t>
      </w:r>
      <w:proofErr w:type="gramStart"/>
      <w:r>
        <w:rPr>
          <w:rFonts w:cs="Arial"/>
          <w:sz w:val="16"/>
          <w:szCs w:val="16"/>
        </w:rPr>
        <w:t>Diversity;</w:t>
      </w:r>
      <w:proofErr w:type="gramEnd"/>
    </w:p>
    <w:p w14:paraId="6A8265B5" w14:textId="5897DACB" w:rsidR="00BA63F2" w:rsidRPr="00BA63F2" w:rsidRDefault="00BA63F2" w:rsidP="00F61D85">
      <w:pPr>
        <w:numPr>
          <w:ilvl w:val="0"/>
          <w:numId w:val="17"/>
        </w:numPr>
        <w:tabs>
          <w:tab w:val="left" w:pos="284"/>
        </w:tabs>
        <w:spacing w:line="240" w:lineRule="auto"/>
        <w:ind w:left="284" w:hanging="284"/>
        <w:rPr>
          <w:rFonts w:cs="Arial"/>
          <w:sz w:val="16"/>
          <w:szCs w:val="16"/>
        </w:rPr>
      </w:pPr>
      <w:r w:rsidRPr="00E67033">
        <w:rPr>
          <w:rFonts w:cs="Arial"/>
          <w:sz w:val="16"/>
          <w:szCs w:val="16"/>
        </w:rPr>
        <w:t>Department of Treaty, Aboriginal and Torres Strait Islander Partnerships, Communities and the Arts</w:t>
      </w:r>
      <w:r>
        <w:rPr>
          <w:rFonts w:cs="Arial"/>
          <w:sz w:val="16"/>
          <w:szCs w:val="16"/>
        </w:rPr>
        <w:t xml:space="preserve"> for the Aboriginal and Torres Strait Islander Career Pathways Service. </w:t>
      </w:r>
    </w:p>
    <w:p w14:paraId="2784D24F" w14:textId="77777777" w:rsidR="00BA63F2" w:rsidRDefault="00BA63F2" w:rsidP="00BA63F2">
      <w:pPr>
        <w:tabs>
          <w:tab w:val="left" w:pos="284"/>
        </w:tabs>
        <w:rPr>
          <w:rFonts w:cs="Arial"/>
          <w:sz w:val="16"/>
          <w:szCs w:val="16"/>
        </w:rPr>
      </w:pPr>
      <w:r>
        <w:rPr>
          <w:rFonts w:cs="Arial"/>
          <w:sz w:val="16"/>
          <w:szCs w:val="16"/>
        </w:rPr>
        <w:t>The Commission also receives free storage facilities from the Queensland State Archives which is an ongoing arrangement.</w:t>
      </w:r>
    </w:p>
    <w:p w14:paraId="6D2D5BE7" w14:textId="77777777" w:rsidR="00D838A4" w:rsidRDefault="00D838A4" w:rsidP="00BA63F2">
      <w:pPr>
        <w:tabs>
          <w:tab w:val="left" w:pos="284"/>
        </w:tabs>
        <w:rPr>
          <w:rFonts w:cs="Arial"/>
          <w:sz w:val="16"/>
          <w:szCs w:val="16"/>
        </w:rPr>
      </w:pPr>
    </w:p>
    <w:p w14:paraId="247848A3" w14:textId="348D1B88" w:rsidR="00B17982" w:rsidRDefault="00B17982">
      <w:pPr>
        <w:rPr>
          <w:rFonts w:cs="Arial"/>
          <w:sz w:val="16"/>
          <w:szCs w:val="16"/>
        </w:rPr>
      </w:pPr>
      <w:r>
        <w:rPr>
          <w:rFonts w:cs="Arial"/>
          <w:sz w:val="16"/>
          <w:szCs w:val="16"/>
        </w:rPr>
        <w:br w:type="page"/>
      </w:r>
    </w:p>
    <w:p w14:paraId="144EEBF2" w14:textId="2DF89BE8" w:rsidR="00B20250" w:rsidRPr="00196AAA" w:rsidRDefault="00B20250" w:rsidP="00B20250">
      <w:pPr>
        <w:tabs>
          <w:tab w:val="left" w:pos="0"/>
        </w:tabs>
        <w:rPr>
          <w:rFonts w:cs="Arial"/>
          <w:b/>
          <w:bCs/>
          <w:sz w:val="18"/>
          <w:szCs w:val="18"/>
        </w:rPr>
      </w:pPr>
      <w:r>
        <w:rPr>
          <w:rFonts w:cs="Arial"/>
          <w:b/>
          <w:bCs/>
          <w:sz w:val="18"/>
          <w:szCs w:val="18"/>
        </w:rPr>
        <w:lastRenderedPageBreak/>
        <w:t>B</w:t>
      </w:r>
      <w:r w:rsidRPr="00196AAA">
        <w:rPr>
          <w:rFonts w:cs="Arial"/>
          <w:b/>
          <w:bCs/>
          <w:sz w:val="18"/>
          <w:szCs w:val="18"/>
        </w:rPr>
        <w:t>2</w:t>
      </w:r>
      <w:r>
        <w:rPr>
          <w:rFonts w:cs="Arial"/>
          <w:b/>
          <w:bCs/>
          <w:sz w:val="18"/>
          <w:szCs w:val="18"/>
        </w:rPr>
        <w:t xml:space="preserve"> </w:t>
      </w:r>
      <w:r w:rsidRPr="00196AAA">
        <w:rPr>
          <w:rFonts w:cs="Arial"/>
          <w:b/>
          <w:bCs/>
          <w:sz w:val="18"/>
          <w:szCs w:val="18"/>
        </w:rPr>
        <w:t>Expenses</w:t>
      </w:r>
    </w:p>
    <w:p w14:paraId="32BE4DED" w14:textId="5BDB8E07" w:rsidR="00B20250" w:rsidRDefault="003B4964" w:rsidP="00B20250">
      <w:pPr>
        <w:tabs>
          <w:tab w:val="decimal" w:pos="6480"/>
        </w:tabs>
        <w:spacing w:line="259" w:lineRule="auto"/>
        <w:rPr>
          <w:rFonts w:cs="Arial"/>
          <w:szCs w:val="20"/>
        </w:rPr>
      </w:pPr>
      <w:r>
        <w:rPr>
          <w:rFonts w:cs="Arial"/>
          <w:szCs w:val="20"/>
        </w:rPr>
        <w:pict w14:anchorId="0E415169">
          <v:shape id="_x0000_i1032" type="#_x0000_t75" alt="Table showing employee expenses." style="width:481.5pt;height:217.5pt;mso-position-horizontal:center;mso-position-vertical:bottom">
            <v:imagedata r:id="rId49" o:title=""/>
          </v:shape>
        </w:pict>
      </w:r>
    </w:p>
    <w:p w14:paraId="49C03A9D" w14:textId="59D5B6F3" w:rsidR="00B20250" w:rsidRPr="00902C3E" w:rsidRDefault="00B20250" w:rsidP="00B20250">
      <w:pPr>
        <w:tabs>
          <w:tab w:val="decimal" w:pos="6480"/>
        </w:tabs>
        <w:spacing w:line="259" w:lineRule="auto"/>
        <w:rPr>
          <w:rFonts w:cs="Arial"/>
          <w:sz w:val="16"/>
          <w:szCs w:val="16"/>
        </w:rPr>
      </w:pPr>
      <w:r w:rsidRPr="007750AB">
        <w:rPr>
          <w:rFonts w:cs="Arial"/>
          <w:sz w:val="16"/>
          <w:szCs w:val="16"/>
          <w:vertAlign w:val="superscript"/>
        </w:rPr>
        <w:t>(</w:t>
      </w:r>
      <w:proofErr w:type="gramStart"/>
      <w:r w:rsidRPr="007750AB">
        <w:rPr>
          <w:rFonts w:cs="Arial"/>
          <w:sz w:val="16"/>
          <w:szCs w:val="16"/>
          <w:vertAlign w:val="superscript"/>
        </w:rPr>
        <w:t>1)</w:t>
      </w:r>
      <w:r>
        <w:rPr>
          <w:rFonts w:cs="Arial"/>
          <w:sz w:val="16"/>
          <w:szCs w:val="16"/>
        </w:rPr>
        <w:t>This</w:t>
      </w:r>
      <w:proofErr w:type="gramEnd"/>
      <w:r>
        <w:rPr>
          <w:rFonts w:cs="Arial"/>
          <w:sz w:val="16"/>
          <w:szCs w:val="16"/>
        </w:rPr>
        <w:t xml:space="preserve"> date is based upon the fortnight </w:t>
      </w:r>
      <w:r w:rsidRPr="005135DE">
        <w:rPr>
          <w:rFonts w:cs="Arial"/>
          <w:sz w:val="16"/>
          <w:szCs w:val="16"/>
        </w:rPr>
        <w:t xml:space="preserve">ending </w:t>
      </w:r>
      <w:r>
        <w:rPr>
          <w:rFonts w:cs="Arial"/>
          <w:sz w:val="16"/>
          <w:szCs w:val="16"/>
        </w:rPr>
        <w:t>30</w:t>
      </w:r>
      <w:r w:rsidRPr="005135DE">
        <w:rPr>
          <w:rFonts w:cs="Arial"/>
          <w:sz w:val="16"/>
          <w:szCs w:val="16"/>
        </w:rPr>
        <w:t xml:space="preserve"> J</w:t>
      </w:r>
      <w:r>
        <w:rPr>
          <w:rFonts w:cs="Arial"/>
          <w:sz w:val="16"/>
          <w:szCs w:val="16"/>
        </w:rPr>
        <w:t>une</w:t>
      </w:r>
      <w:r w:rsidRPr="005135DE">
        <w:rPr>
          <w:rFonts w:cs="Arial"/>
          <w:sz w:val="16"/>
          <w:szCs w:val="16"/>
        </w:rPr>
        <w:t xml:space="preserve"> 202</w:t>
      </w:r>
      <w:r>
        <w:rPr>
          <w:rFonts w:cs="Arial"/>
          <w:sz w:val="16"/>
          <w:szCs w:val="16"/>
        </w:rPr>
        <w:t>3</w:t>
      </w:r>
      <w:r w:rsidRPr="005135DE">
        <w:rPr>
          <w:rFonts w:cs="Arial"/>
          <w:sz w:val="16"/>
          <w:szCs w:val="16"/>
        </w:rPr>
        <w:t>.</w:t>
      </w:r>
    </w:p>
    <w:p w14:paraId="771FA4A3" w14:textId="77777777" w:rsidR="00B20250" w:rsidRPr="00196AAA" w:rsidRDefault="00B20250" w:rsidP="00B20250">
      <w:pPr>
        <w:tabs>
          <w:tab w:val="decimal" w:pos="6480"/>
        </w:tabs>
        <w:spacing w:line="259" w:lineRule="auto"/>
        <w:rPr>
          <w:rFonts w:cs="Arial"/>
          <w:sz w:val="16"/>
          <w:szCs w:val="16"/>
        </w:rPr>
      </w:pPr>
      <w:r w:rsidRPr="00196AAA">
        <w:rPr>
          <w:rFonts w:cs="Arial"/>
          <w:sz w:val="16"/>
          <w:szCs w:val="16"/>
        </w:rPr>
        <w:t>Wages and salaries are recognised based on the period where service has been received. Sick leave is non-vesting with expenses recognised when leave is taken.</w:t>
      </w:r>
    </w:p>
    <w:p w14:paraId="13FC01B8" w14:textId="77777777" w:rsidR="00B20250" w:rsidRPr="00196AAA" w:rsidRDefault="00B20250" w:rsidP="00B20250">
      <w:pPr>
        <w:tabs>
          <w:tab w:val="decimal" w:pos="6480"/>
        </w:tabs>
        <w:spacing w:before="120" w:line="259" w:lineRule="auto"/>
        <w:rPr>
          <w:rFonts w:cs="Arial"/>
          <w:sz w:val="16"/>
          <w:szCs w:val="16"/>
        </w:rPr>
      </w:pPr>
      <w:r w:rsidRPr="00196AAA">
        <w:rPr>
          <w:rFonts w:cs="Arial"/>
          <w:sz w:val="16"/>
          <w:szCs w:val="16"/>
        </w:rPr>
        <w:t xml:space="preserve">The Commission’s post-employment benefits for superannuation are provided through defined contribution (accumulation) plans or the Queensland Government’s QSuper defined benefit plan as determined by the employee’s conditions of employment. </w:t>
      </w:r>
    </w:p>
    <w:p w14:paraId="45DAB71A" w14:textId="77777777" w:rsidR="00B20250" w:rsidRPr="00196AAA" w:rsidRDefault="00B20250" w:rsidP="00B20250">
      <w:pPr>
        <w:tabs>
          <w:tab w:val="decimal" w:pos="6480"/>
        </w:tabs>
        <w:spacing w:before="120" w:line="259" w:lineRule="auto"/>
        <w:rPr>
          <w:rFonts w:cs="Arial"/>
          <w:sz w:val="16"/>
          <w:szCs w:val="16"/>
        </w:rPr>
      </w:pPr>
      <w:r w:rsidRPr="00196AAA">
        <w:rPr>
          <w:rFonts w:cs="Arial"/>
          <w:sz w:val="16"/>
          <w:szCs w:val="16"/>
          <w:u w:val="single"/>
        </w:rPr>
        <w:t>Defined contribution plans</w:t>
      </w:r>
      <w:r w:rsidRPr="00196AAA">
        <w:rPr>
          <w:rFonts w:cs="Arial"/>
          <w:sz w:val="16"/>
          <w:szCs w:val="16"/>
        </w:rPr>
        <w:t xml:space="preserve"> - Contributions are made to eligible complying superannuation funds based on the rates specified in the relevant enterprise bargaining agreement or other conditions of employment. Contributions are expensed when they are paid or become payable following completion of the employee’s service each pay period. </w:t>
      </w:r>
    </w:p>
    <w:p w14:paraId="72AF3051" w14:textId="77777777" w:rsidR="00B20250" w:rsidRPr="00196AAA" w:rsidRDefault="00B20250" w:rsidP="00B20250">
      <w:pPr>
        <w:tabs>
          <w:tab w:val="decimal" w:pos="6480"/>
        </w:tabs>
        <w:spacing w:before="120" w:line="259" w:lineRule="auto"/>
        <w:rPr>
          <w:rFonts w:cs="Arial"/>
          <w:sz w:val="16"/>
          <w:szCs w:val="16"/>
        </w:rPr>
      </w:pPr>
      <w:r w:rsidRPr="00196AAA">
        <w:rPr>
          <w:rFonts w:cs="Arial"/>
          <w:sz w:val="16"/>
          <w:szCs w:val="16"/>
          <w:u w:val="single"/>
        </w:rPr>
        <w:t>Defined benefit plans</w:t>
      </w:r>
      <w:r w:rsidRPr="00196AAA">
        <w:rPr>
          <w:rFonts w:cs="Arial"/>
          <w:sz w:val="16"/>
          <w:szCs w:val="16"/>
        </w:rPr>
        <w:t xml:space="preserve"> - The liability is held on a whole-of-government basis and reported in those financial statements pursuant to AASB 1049 </w:t>
      </w:r>
      <w:r w:rsidRPr="00196AAA">
        <w:rPr>
          <w:rFonts w:cs="Arial"/>
          <w:i/>
          <w:sz w:val="16"/>
          <w:szCs w:val="16"/>
        </w:rPr>
        <w:t>Whole of Government and General Government Sector Financial Reporting</w:t>
      </w:r>
      <w:r w:rsidRPr="00196AAA">
        <w:rPr>
          <w:rFonts w:cs="Arial"/>
          <w:sz w:val="16"/>
          <w:szCs w:val="16"/>
        </w:rPr>
        <w:t xml:space="preserve">. The </w:t>
      </w:r>
      <w:proofErr w:type="gramStart"/>
      <w:r w:rsidRPr="00196AAA">
        <w:rPr>
          <w:rFonts w:cs="Arial"/>
          <w:sz w:val="16"/>
          <w:szCs w:val="16"/>
        </w:rPr>
        <w:t>amount</w:t>
      </w:r>
      <w:proofErr w:type="gramEnd"/>
      <w:r w:rsidRPr="00196AAA">
        <w:rPr>
          <w:rFonts w:cs="Arial"/>
          <w:sz w:val="16"/>
          <w:szCs w:val="16"/>
        </w:rPr>
        <w:t xml:space="preserve"> of contributions for defined benefit plan obligations is based upon the rates determined on the advice of the State Actuary. Contributions are paid by the Commission at the specified rate following completion of the employee’s service each pay period. The Commission’s obligations are limited to those contributions paid.</w:t>
      </w:r>
    </w:p>
    <w:p w14:paraId="45DD8564" w14:textId="77777777" w:rsidR="00B20250" w:rsidRDefault="00B20250" w:rsidP="00B20250">
      <w:pPr>
        <w:tabs>
          <w:tab w:val="decimal" w:pos="6480"/>
        </w:tabs>
        <w:spacing w:before="120" w:line="259" w:lineRule="auto"/>
        <w:rPr>
          <w:rFonts w:cs="Arial"/>
          <w:sz w:val="16"/>
          <w:szCs w:val="16"/>
        </w:rPr>
      </w:pPr>
      <w:r w:rsidRPr="0007544D">
        <w:rPr>
          <w:rFonts w:cs="Arial"/>
          <w:sz w:val="16"/>
          <w:szCs w:val="16"/>
        </w:rPr>
        <w:t>Under the Queensland Government’s Annual Leave Central Scheme (ALCS) and Long Service Leave Central Scheme (LSLCS), the levies are expensed in the period in which they are payable. Amounts paid to employees for annual leave and</w:t>
      </w:r>
      <w:r w:rsidRPr="00196AAA">
        <w:rPr>
          <w:rFonts w:cs="Arial"/>
          <w:sz w:val="16"/>
          <w:szCs w:val="16"/>
        </w:rPr>
        <w:t xml:space="preserve"> long service leave are claimed quarterly in arrears. These schemes are administered by Queensland Treasury which is a related party. </w:t>
      </w:r>
    </w:p>
    <w:p w14:paraId="5E5331CE" w14:textId="77777777" w:rsidR="00B20250" w:rsidRDefault="00B20250" w:rsidP="00B20250">
      <w:pPr>
        <w:tabs>
          <w:tab w:val="decimal" w:pos="6480"/>
        </w:tabs>
        <w:spacing w:before="120" w:line="259" w:lineRule="auto"/>
        <w:rPr>
          <w:rFonts w:cs="Arial"/>
          <w:sz w:val="16"/>
          <w:szCs w:val="16"/>
        </w:rPr>
      </w:pPr>
      <w:r w:rsidRPr="00196AAA">
        <w:rPr>
          <w:rFonts w:cs="Arial"/>
          <w:sz w:val="16"/>
          <w:szCs w:val="16"/>
        </w:rPr>
        <w:t xml:space="preserve">The Commission pays premiums to WorkCover Queensland (which is a related party) in respect of its obligations for employee compensation. Workers’ compensation insurance is a consequence of employing employees but is not counted in an employee’s total remuneration package. It is not </w:t>
      </w:r>
      <w:r>
        <w:rPr>
          <w:rFonts w:cs="Arial"/>
          <w:sz w:val="16"/>
          <w:szCs w:val="16"/>
        </w:rPr>
        <w:t xml:space="preserve">an </w:t>
      </w:r>
      <w:r w:rsidRPr="00196AAA">
        <w:rPr>
          <w:rFonts w:cs="Arial"/>
          <w:sz w:val="16"/>
          <w:szCs w:val="16"/>
        </w:rPr>
        <w:t xml:space="preserve">employee benefit and is recognised separately as employee related expenses. </w:t>
      </w:r>
    </w:p>
    <w:p w14:paraId="38AA9BEE" w14:textId="6CCA7711" w:rsidR="00B20250" w:rsidRDefault="00B20250" w:rsidP="00B20250">
      <w:pPr>
        <w:tabs>
          <w:tab w:val="decimal" w:pos="6480"/>
        </w:tabs>
        <w:spacing w:before="120" w:line="259" w:lineRule="auto"/>
        <w:rPr>
          <w:rFonts w:cs="Arial"/>
          <w:sz w:val="16"/>
          <w:szCs w:val="16"/>
        </w:rPr>
      </w:pPr>
      <w:r w:rsidRPr="00196AAA">
        <w:rPr>
          <w:rFonts w:cs="Arial"/>
          <w:sz w:val="16"/>
          <w:szCs w:val="16"/>
        </w:rPr>
        <w:t xml:space="preserve">Key management personnel and remuneration disclosures are detailed in </w:t>
      </w:r>
      <w:r w:rsidRPr="00EE060D">
        <w:rPr>
          <w:rFonts w:cs="Arial"/>
          <w:sz w:val="16"/>
          <w:szCs w:val="16"/>
        </w:rPr>
        <w:t xml:space="preserve">Note </w:t>
      </w:r>
      <w:r>
        <w:rPr>
          <w:rFonts w:cs="Arial"/>
          <w:sz w:val="16"/>
          <w:szCs w:val="16"/>
        </w:rPr>
        <w:t>E1</w:t>
      </w:r>
      <w:r w:rsidRPr="00196AAA">
        <w:rPr>
          <w:rFonts w:cs="Arial"/>
          <w:sz w:val="16"/>
          <w:szCs w:val="16"/>
        </w:rPr>
        <w:t>.</w:t>
      </w:r>
    </w:p>
    <w:p w14:paraId="18F871F0" w14:textId="4E8AF1DF" w:rsidR="007012E1" w:rsidRDefault="003B4964" w:rsidP="00B20250">
      <w:pPr>
        <w:tabs>
          <w:tab w:val="decimal" w:pos="6480"/>
        </w:tabs>
        <w:spacing w:before="120" w:line="259" w:lineRule="auto"/>
        <w:rPr>
          <w:rFonts w:cs="Arial"/>
          <w:sz w:val="16"/>
          <w:szCs w:val="16"/>
        </w:rPr>
      </w:pPr>
      <w:r>
        <w:rPr>
          <w:rFonts w:cs="Arial"/>
          <w:sz w:val="16"/>
          <w:szCs w:val="16"/>
        </w:rPr>
        <w:pict w14:anchorId="1D78E480">
          <v:shape id="_x0000_i1033" type="#_x0000_t75" alt="Table showing supplies and services." style="width:481.15pt;height:148.15pt;mso-position-horizontal:center">
            <v:imagedata r:id="rId50" o:title=""/>
          </v:shape>
        </w:pict>
      </w:r>
    </w:p>
    <w:p w14:paraId="5DEDEFAF" w14:textId="77777777" w:rsidR="00C71160" w:rsidRDefault="00C71160" w:rsidP="00B10FA3">
      <w:pPr>
        <w:spacing w:before="120" w:line="259" w:lineRule="auto"/>
        <w:jc w:val="both"/>
        <w:rPr>
          <w:rFonts w:cs="Arial"/>
          <w:b/>
          <w:sz w:val="18"/>
          <w:szCs w:val="18"/>
        </w:rPr>
      </w:pPr>
    </w:p>
    <w:p w14:paraId="2EE904A6" w14:textId="77777777" w:rsidR="00E81C34" w:rsidRDefault="00E81C34" w:rsidP="00B10FA3">
      <w:pPr>
        <w:spacing w:before="120" w:line="259" w:lineRule="auto"/>
        <w:jc w:val="both"/>
        <w:rPr>
          <w:rFonts w:cs="Arial"/>
          <w:b/>
          <w:sz w:val="18"/>
          <w:szCs w:val="18"/>
        </w:rPr>
      </w:pPr>
    </w:p>
    <w:p w14:paraId="1839D812" w14:textId="77777777" w:rsidR="002451C8" w:rsidRDefault="002451C8" w:rsidP="00B10FA3">
      <w:pPr>
        <w:spacing w:before="120" w:line="259" w:lineRule="auto"/>
        <w:jc w:val="both"/>
        <w:rPr>
          <w:rFonts w:cs="Arial"/>
          <w:b/>
          <w:sz w:val="18"/>
          <w:szCs w:val="18"/>
        </w:rPr>
      </w:pPr>
    </w:p>
    <w:p w14:paraId="143FC1F4" w14:textId="6BA96E00" w:rsidR="00B10FA3" w:rsidRPr="00962AB6" w:rsidRDefault="00B10FA3" w:rsidP="00B10FA3">
      <w:pPr>
        <w:spacing w:before="120" w:line="259" w:lineRule="auto"/>
        <w:jc w:val="both"/>
        <w:rPr>
          <w:rFonts w:cs="Arial"/>
          <w:b/>
          <w:sz w:val="18"/>
          <w:szCs w:val="18"/>
        </w:rPr>
      </w:pPr>
      <w:r w:rsidRPr="00962AB6">
        <w:rPr>
          <w:rFonts w:cs="Arial"/>
          <w:b/>
          <w:sz w:val="18"/>
          <w:szCs w:val="18"/>
        </w:rPr>
        <w:t>B2-2 Supplies and Services (cont’d)</w:t>
      </w:r>
    </w:p>
    <w:p w14:paraId="6D0070B3" w14:textId="77777777" w:rsidR="00B10FA3" w:rsidRDefault="00B10FA3" w:rsidP="00B10FA3">
      <w:pPr>
        <w:spacing w:before="120"/>
        <w:rPr>
          <w:rFonts w:cs="Arial"/>
          <w:sz w:val="16"/>
          <w:szCs w:val="16"/>
        </w:rPr>
      </w:pPr>
      <w:r w:rsidRPr="00196AAA">
        <w:rPr>
          <w:rFonts w:cs="Arial"/>
          <w:sz w:val="16"/>
          <w:szCs w:val="16"/>
        </w:rPr>
        <w:lastRenderedPageBreak/>
        <w:t>For a transaction to be recognised as supplies and services, the value of the goods and services received by the Commission must be approximately equal to the value of the consideration exchanged for those goods or services. Where this is not the substance of the arrangement, the transaction is classified as a grant or subsidy.</w:t>
      </w:r>
    </w:p>
    <w:p w14:paraId="75EE53A9" w14:textId="3CA02240" w:rsidR="00891AE9" w:rsidRPr="00246426" w:rsidRDefault="003B4964" w:rsidP="00891AE9">
      <w:pPr>
        <w:pStyle w:val="ListBullet"/>
        <w:numPr>
          <w:ilvl w:val="0"/>
          <w:numId w:val="0"/>
        </w:numPr>
        <w:spacing w:before="120" w:after="0" w:line="259" w:lineRule="auto"/>
        <w:rPr>
          <w:rFonts w:cs="Arial"/>
          <w:sz w:val="16"/>
          <w:szCs w:val="16"/>
          <w:vertAlign w:val="superscript"/>
        </w:rPr>
      </w:pPr>
      <w:r>
        <w:rPr>
          <w:rFonts w:cs="Arial"/>
          <w:sz w:val="16"/>
          <w:szCs w:val="16"/>
          <w:vertAlign w:val="superscript"/>
        </w:rPr>
        <w:pict w14:anchorId="08C46DCD">
          <v:shape id="_x0000_i1034" type="#_x0000_t75" alt="Table showing other expenses." style="width:482.25pt;height:82.9pt;mso-position-horizontal:center">
            <v:imagedata r:id="rId51" o:title=""/>
          </v:shape>
        </w:pict>
      </w:r>
      <w:r w:rsidR="0093154F">
        <w:rPr>
          <w:rFonts w:cs="Arial"/>
          <w:sz w:val="16"/>
          <w:szCs w:val="16"/>
          <w:vertAlign w:val="superscript"/>
        </w:rPr>
        <w:br/>
      </w:r>
      <w:r w:rsidR="0093154F">
        <w:rPr>
          <w:rFonts w:cs="Arial"/>
          <w:sz w:val="16"/>
          <w:szCs w:val="16"/>
          <w:vertAlign w:val="superscript"/>
        </w:rPr>
        <w:br/>
      </w:r>
      <w:r w:rsidR="00891AE9" w:rsidRPr="00196AAA">
        <w:rPr>
          <w:rFonts w:cs="Arial"/>
          <w:sz w:val="16"/>
          <w:szCs w:val="16"/>
        </w:rPr>
        <w:t>Total audit fees payable to the Queensland Audit Office (QAO) relating to the 20</w:t>
      </w:r>
      <w:r w:rsidR="00891AE9">
        <w:rPr>
          <w:rFonts w:cs="Arial"/>
          <w:sz w:val="16"/>
          <w:szCs w:val="16"/>
        </w:rPr>
        <w:t>22</w:t>
      </w:r>
      <w:r w:rsidR="008C5FD5">
        <w:rPr>
          <w:rFonts w:cs="Arial"/>
          <w:sz w:val="16"/>
          <w:szCs w:val="16"/>
        </w:rPr>
        <w:t>–</w:t>
      </w:r>
      <w:r w:rsidR="00891AE9" w:rsidRPr="00196AAA">
        <w:rPr>
          <w:rFonts w:cs="Arial"/>
          <w:sz w:val="16"/>
          <w:szCs w:val="16"/>
        </w:rPr>
        <w:t>2</w:t>
      </w:r>
      <w:r w:rsidR="00891AE9">
        <w:rPr>
          <w:rFonts w:cs="Arial"/>
          <w:sz w:val="16"/>
          <w:szCs w:val="16"/>
        </w:rPr>
        <w:t>3</w:t>
      </w:r>
      <w:r w:rsidR="00891AE9" w:rsidRPr="00196AAA">
        <w:rPr>
          <w:rFonts w:cs="Arial"/>
          <w:sz w:val="16"/>
          <w:szCs w:val="16"/>
        </w:rPr>
        <w:t xml:space="preserve"> financial year are quoted to be $</w:t>
      </w:r>
      <w:r w:rsidR="00891AE9">
        <w:rPr>
          <w:rFonts w:cs="Arial"/>
          <w:sz w:val="16"/>
          <w:szCs w:val="16"/>
        </w:rPr>
        <w:t>33,100</w:t>
      </w:r>
      <w:r w:rsidR="00891AE9" w:rsidRPr="00196AAA">
        <w:rPr>
          <w:rFonts w:cs="Arial"/>
          <w:sz w:val="16"/>
          <w:szCs w:val="16"/>
        </w:rPr>
        <w:t xml:space="preserve"> (20</w:t>
      </w:r>
      <w:r w:rsidR="00891AE9">
        <w:rPr>
          <w:rFonts w:cs="Arial"/>
          <w:sz w:val="16"/>
          <w:szCs w:val="16"/>
        </w:rPr>
        <w:t>21</w:t>
      </w:r>
      <w:r w:rsidR="008C5FD5">
        <w:rPr>
          <w:rFonts w:cs="Arial"/>
          <w:sz w:val="16"/>
          <w:szCs w:val="16"/>
        </w:rPr>
        <w:t>–</w:t>
      </w:r>
      <w:r w:rsidR="00891AE9">
        <w:rPr>
          <w:rFonts w:cs="Arial"/>
          <w:sz w:val="16"/>
          <w:szCs w:val="16"/>
        </w:rPr>
        <w:t>22</w:t>
      </w:r>
      <w:r w:rsidR="00891AE9" w:rsidRPr="00196AAA">
        <w:rPr>
          <w:rFonts w:cs="Arial"/>
          <w:sz w:val="16"/>
          <w:szCs w:val="16"/>
        </w:rPr>
        <w:t>: $</w:t>
      </w:r>
      <w:r w:rsidR="00891AE9">
        <w:rPr>
          <w:rFonts w:cs="Arial"/>
          <w:sz w:val="16"/>
          <w:szCs w:val="16"/>
        </w:rPr>
        <w:t>32,300</w:t>
      </w:r>
      <w:r w:rsidR="00891AE9" w:rsidRPr="00196AAA">
        <w:rPr>
          <w:rFonts w:cs="Arial"/>
          <w:sz w:val="16"/>
          <w:szCs w:val="16"/>
        </w:rPr>
        <w:t xml:space="preserve">). There are no non-audit services included in the amount. </w:t>
      </w:r>
    </w:p>
    <w:p w14:paraId="530C7520" w14:textId="513CE9E9" w:rsidR="00891AE9" w:rsidRPr="00196AAA" w:rsidRDefault="00891AE9" w:rsidP="00891AE9">
      <w:pPr>
        <w:spacing w:before="120" w:line="259" w:lineRule="auto"/>
        <w:rPr>
          <w:rFonts w:cs="Arial"/>
          <w:sz w:val="16"/>
          <w:szCs w:val="16"/>
        </w:rPr>
      </w:pPr>
      <w:r w:rsidRPr="00196AAA">
        <w:rPr>
          <w:rFonts w:cs="Arial"/>
          <w:sz w:val="16"/>
          <w:szCs w:val="16"/>
        </w:rPr>
        <w:t>Other expenses include insurance premiums paid to the Queensland Government Insurance Fund (QGIF).  QGIF is an internal Queensland Treasury managed fund to oversee the State Government’s self-insurance scheme. Queensland Treasury is a related party.</w:t>
      </w:r>
    </w:p>
    <w:p w14:paraId="728D3195" w14:textId="77777777" w:rsidR="002275FC" w:rsidRPr="00E81C34" w:rsidRDefault="002275FC" w:rsidP="00E81C34">
      <w:pPr>
        <w:pStyle w:val="PSCHeading2"/>
      </w:pPr>
      <w:bookmarkStart w:id="517" w:name="_Toc145672766"/>
      <w:bookmarkStart w:id="518" w:name="_Toc145673164"/>
      <w:bookmarkStart w:id="519" w:name="_Toc145926994"/>
      <w:r w:rsidRPr="00E81C34">
        <w:t>Section C: Notes about our Financial Position</w:t>
      </w:r>
      <w:bookmarkEnd w:id="517"/>
      <w:bookmarkEnd w:id="518"/>
      <w:bookmarkEnd w:id="519"/>
    </w:p>
    <w:p w14:paraId="0F6CBFEE" w14:textId="5C4586E2" w:rsidR="00EE1717" w:rsidRDefault="003B4964" w:rsidP="00EE1717">
      <w:pPr>
        <w:spacing w:before="120" w:line="259" w:lineRule="auto"/>
        <w:rPr>
          <w:rFonts w:cs="Arial"/>
          <w:sz w:val="16"/>
          <w:szCs w:val="16"/>
        </w:rPr>
      </w:pPr>
      <w:r>
        <w:rPr>
          <w:rFonts w:cs="Arial"/>
          <w:sz w:val="16"/>
          <w:szCs w:val="16"/>
        </w:rPr>
        <w:pict w14:anchorId="06028A5C">
          <v:shape id="_x0000_i1035" type="#_x0000_t75" alt="Table showing cash and cash equivalents." style="width:484.9pt;height:84pt;mso-position-horizontal:center">
            <v:imagedata r:id="rId52" o:title=""/>
          </v:shape>
        </w:pict>
      </w:r>
      <w:r w:rsidR="002A7910">
        <w:rPr>
          <w:rFonts w:cs="Arial"/>
          <w:sz w:val="16"/>
          <w:szCs w:val="16"/>
        </w:rPr>
        <w:br/>
      </w:r>
      <w:r w:rsidR="00EE1717" w:rsidRPr="00196AAA">
        <w:rPr>
          <w:rFonts w:cs="Arial"/>
          <w:sz w:val="16"/>
          <w:szCs w:val="16"/>
        </w:rPr>
        <w:t xml:space="preserve">For the purposes of the statement of financial position and the statement of cash flows, cash assets include all cash and cheques receipted but not banked </w:t>
      </w:r>
      <w:proofErr w:type="gramStart"/>
      <w:r w:rsidR="00EE1717" w:rsidRPr="00196AAA">
        <w:rPr>
          <w:rFonts w:cs="Arial"/>
          <w:sz w:val="16"/>
          <w:szCs w:val="16"/>
        </w:rPr>
        <w:t>at</w:t>
      </w:r>
      <w:proofErr w:type="gramEnd"/>
      <w:r w:rsidR="00EE1717" w:rsidRPr="00196AAA">
        <w:rPr>
          <w:rFonts w:cs="Arial"/>
          <w:sz w:val="16"/>
          <w:szCs w:val="16"/>
        </w:rPr>
        <w:t xml:space="preserve"> 30 June 202</w:t>
      </w:r>
      <w:r w:rsidR="00EE1717">
        <w:rPr>
          <w:rFonts w:cs="Arial"/>
          <w:sz w:val="16"/>
          <w:szCs w:val="16"/>
        </w:rPr>
        <w:t>3</w:t>
      </w:r>
      <w:r w:rsidR="00EE1717" w:rsidRPr="00196AAA">
        <w:rPr>
          <w:rFonts w:cs="Arial"/>
          <w:sz w:val="16"/>
          <w:szCs w:val="16"/>
        </w:rPr>
        <w:t>.</w:t>
      </w:r>
    </w:p>
    <w:p w14:paraId="513D518C" w14:textId="5FF356D6" w:rsidR="00970251" w:rsidRPr="00851A31" w:rsidRDefault="003B4964" w:rsidP="00970251">
      <w:pPr>
        <w:spacing w:before="120" w:line="259" w:lineRule="auto"/>
        <w:rPr>
          <w:rFonts w:cs="Arial"/>
          <w:b/>
          <w:sz w:val="18"/>
          <w:szCs w:val="18"/>
        </w:rPr>
      </w:pPr>
      <w:r>
        <w:rPr>
          <w:rFonts w:cs="Arial"/>
          <w:b/>
          <w:sz w:val="18"/>
          <w:szCs w:val="18"/>
        </w:rPr>
        <w:pict w14:anchorId="10162020">
          <v:shape id="_x0000_i1036" type="#_x0000_t75" alt="Table showing receivables." style="width:479.65pt;height:157.5pt;mso-position-horizontal:center">
            <v:imagedata r:id="rId53" o:title=""/>
          </v:shape>
        </w:pict>
      </w:r>
      <w:r w:rsidR="00970251">
        <w:rPr>
          <w:rFonts w:cs="Arial"/>
          <w:b/>
          <w:sz w:val="18"/>
          <w:szCs w:val="18"/>
        </w:rPr>
        <w:br/>
      </w:r>
      <w:r w:rsidR="00970251">
        <w:rPr>
          <w:rFonts w:cs="Arial"/>
          <w:sz w:val="16"/>
          <w:szCs w:val="16"/>
        </w:rPr>
        <w:t>R</w:t>
      </w:r>
      <w:r w:rsidR="00970251" w:rsidRPr="00196AAA">
        <w:rPr>
          <w:rFonts w:cs="Arial"/>
          <w:sz w:val="16"/>
          <w:szCs w:val="16"/>
        </w:rPr>
        <w:t xml:space="preserve">eceivables are recognised at amortised cost. </w:t>
      </w:r>
    </w:p>
    <w:p w14:paraId="386E3CE7" w14:textId="77777777" w:rsidR="00970251" w:rsidRPr="00196AAA" w:rsidRDefault="00970251" w:rsidP="00970251">
      <w:pPr>
        <w:spacing w:before="120" w:line="259" w:lineRule="auto"/>
        <w:rPr>
          <w:rFonts w:cs="Arial"/>
          <w:sz w:val="16"/>
          <w:szCs w:val="16"/>
        </w:rPr>
      </w:pPr>
      <w:r w:rsidRPr="00196AAA">
        <w:rPr>
          <w:rFonts w:cs="Arial"/>
          <w:sz w:val="16"/>
          <w:szCs w:val="16"/>
        </w:rPr>
        <w:t xml:space="preserve">Trade debtors are recognised at the amounts due at the time of sale or service delivery </w:t>
      </w:r>
      <w:proofErr w:type="gramStart"/>
      <w:r w:rsidRPr="00196AAA">
        <w:rPr>
          <w:rFonts w:cs="Arial"/>
          <w:sz w:val="16"/>
          <w:szCs w:val="16"/>
        </w:rPr>
        <w:t>i.e.</w:t>
      </w:r>
      <w:proofErr w:type="gramEnd"/>
      <w:r w:rsidRPr="00196AAA">
        <w:rPr>
          <w:rFonts w:cs="Arial"/>
          <w:sz w:val="16"/>
          <w:szCs w:val="16"/>
        </w:rPr>
        <w:t xml:space="preserve"> the agreed purchase/contract price. Settlement of these amounts is required within 30 days from invoice date. </w:t>
      </w:r>
    </w:p>
    <w:p w14:paraId="782349F9" w14:textId="02A97DBF" w:rsidR="00970251" w:rsidRPr="00196AAA" w:rsidRDefault="00970251" w:rsidP="00970251">
      <w:pPr>
        <w:spacing w:before="120" w:line="259" w:lineRule="auto"/>
        <w:rPr>
          <w:rFonts w:cs="Arial"/>
          <w:sz w:val="16"/>
          <w:szCs w:val="16"/>
        </w:rPr>
      </w:pPr>
      <w:r w:rsidRPr="00196AAA">
        <w:rPr>
          <w:rFonts w:cs="Arial"/>
          <w:sz w:val="16"/>
          <w:szCs w:val="16"/>
        </w:rPr>
        <w:t>The Commission has assessed each debtor individually for impairment and no debtors</w:t>
      </w:r>
      <w:r>
        <w:rPr>
          <w:rFonts w:cs="Arial"/>
          <w:sz w:val="16"/>
          <w:szCs w:val="16"/>
        </w:rPr>
        <w:t xml:space="preserve"> </w:t>
      </w:r>
      <w:r w:rsidRPr="00196AAA">
        <w:rPr>
          <w:rFonts w:cs="Arial"/>
          <w:sz w:val="16"/>
          <w:szCs w:val="16"/>
        </w:rPr>
        <w:t>were impaired for 202</w:t>
      </w:r>
      <w:r>
        <w:rPr>
          <w:rFonts w:cs="Arial"/>
          <w:sz w:val="16"/>
          <w:szCs w:val="16"/>
        </w:rPr>
        <w:t>2</w:t>
      </w:r>
      <w:r w:rsidR="008C5FD5">
        <w:rPr>
          <w:rFonts w:cs="Arial"/>
          <w:sz w:val="16"/>
          <w:szCs w:val="16"/>
        </w:rPr>
        <w:t>–</w:t>
      </w:r>
      <w:r>
        <w:rPr>
          <w:rFonts w:cs="Arial"/>
          <w:sz w:val="16"/>
          <w:szCs w:val="16"/>
        </w:rPr>
        <w:t>23</w:t>
      </w:r>
      <w:r w:rsidRPr="00196AAA">
        <w:rPr>
          <w:rFonts w:cs="Arial"/>
          <w:sz w:val="16"/>
          <w:szCs w:val="16"/>
        </w:rPr>
        <w:t xml:space="preserve"> (20</w:t>
      </w:r>
      <w:r>
        <w:rPr>
          <w:rFonts w:cs="Arial"/>
          <w:sz w:val="16"/>
          <w:szCs w:val="16"/>
        </w:rPr>
        <w:t>21</w:t>
      </w:r>
      <w:r w:rsidR="008C5FD5">
        <w:rPr>
          <w:rFonts w:cs="Arial"/>
          <w:sz w:val="16"/>
          <w:szCs w:val="16"/>
        </w:rPr>
        <w:t>–</w:t>
      </w:r>
      <w:r w:rsidRPr="00196AAA">
        <w:rPr>
          <w:rFonts w:cs="Arial"/>
          <w:sz w:val="16"/>
          <w:szCs w:val="16"/>
        </w:rPr>
        <w:t>2</w:t>
      </w:r>
      <w:r>
        <w:rPr>
          <w:rFonts w:cs="Arial"/>
          <w:sz w:val="16"/>
          <w:szCs w:val="16"/>
        </w:rPr>
        <w:t>2</w:t>
      </w:r>
      <w:r w:rsidRPr="00196AAA">
        <w:rPr>
          <w:rFonts w:cs="Arial"/>
          <w:sz w:val="16"/>
          <w:szCs w:val="16"/>
        </w:rPr>
        <w:t>: Nil).</w:t>
      </w:r>
    </w:p>
    <w:p w14:paraId="7CD9D069" w14:textId="77777777" w:rsidR="00970251" w:rsidRPr="00196AAA" w:rsidRDefault="00970251" w:rsidP="00970251">
      <w:pPr>
        <w:pStyle w:val="Notetext"/>
        <w:tabs>
          <w:tab w:val="left" w:pos="567"/>
        </w:tabs>
        <w:spacing w:before="120" w:after="240" w:line="259" w:lineRule="auto"/>
        <w:rPr>
          <w:szCs w:val="16"/>
        </w:rPr>
      </w:pPr>
      <w:r w:rsidRPr="0007544D">
        <w:rPr>
          <w:szCs w:val="16"/>
        </w:rPr>
        <w:t>Long service leave and Annual leave reimbursements represent the amounts recoverable from the LSLCS and ALCS that are claimed quarterly in arrears (Refer Note C</w:t>
      </w:r>
      <w:r>
        <w:rPr>
          <w:szCs w:val="16"/>
        </w:rPr>
        <w:t>6</w:t>
      </w:r>
      <w:r w:rsidRPr="0007544D">
        <w:rPr>
          <w:szCs w:val="16"/>
        </w:rPr>
        <w:t>).</w:t>
      </w:r>
    </w:p>
    <w:p w14:paraId="11C50B8A" w14:textId="1652D9D8" w:rsidR="005E04A2" w:rsidRDefault="003B4964" w:rsidP="005E04A2">
      <w:pPr>
        <w:jc w:val="both"/>
        <w:rPr>
          <w:rFonts w:cs="Arial"/>
          <w:b/>
          <w:bCs/>
          <w:sz w:val="16"/>
          <w:szCs w:val="16"/>
        </w:rPr>
      </w:pPr>
      <w:r>
        <w:rPr>
          <w:rFonts w:cs="Arial"/>
          <w:sz w:val="16"/>
          <w:szCs w:val="16"/>
        </w:rPr>
        <w:pict w14:anchorId="7979B2A1">
          <v:shape id="_x0000_i1037" type="#_x0000_t75" alt="Table showing other current assets." style="width:481.5pt;height:98.65pt;mso-position-horizontal:center">
            <v:imagedata r:id="rId54" o:title=""/>
          </v:shape>
        </w:pict>
      </w:r>
      <w:r w:rsidR="000B3DF7">
        <w:rPr>
          <w:rFonts w:cs="Arial"/>
          <w:sz w:val="16"/>
          <w:szCs w:val="16"/>
        </w:rPr>
        <w:br/>
      </w:r>
      <w:r w:rsidR="000B3DF7">
        <w:rPr>
          <w:rFonts w:cs="Arial"/>
          <w:sz w:val="16"/>
          <w:szCs w:val="16"/>
        </w:rPr>
        <w:br/>
      </w:r>
      <w:r>
        <w:rPr>
          <w:rFonts w:cs="Arial"/>
          <w:sz w:val="16"/>
          <w:szCs w:val="16"/>
        </w:rPr>
        <w:lastRenderedPageBreak/>
        <w:pict w14:anchorId="47EE38DD">
          <v:shape id="_x0000_i1038" type="#_x0000_t75" alt="Table showing intangibles and amortisation expense." style="width:483.75pt;height:97.5pt;mso-position-horizontal:center">
            <v:imagedata r:id="rId55" o:title=""/>
          </v:shape>
        </w:pict>
      </w:r>
      <w:r w:rsidR="00D84E57">
        <w:rPr>
          <w:rFonts w:cs="Arial"/>
          <w:sz w:val="16"/>
          <w:szCs w:val="16"/>
        </w:rPr>
        <w:br/>
      </w:r>
      <w:r w:rsidR="00D84E57">
        <w:rPr>
          <w:rFonts w:cs="Arial"/>
          <w:sz w:val="16"/>
          <w:szCs w:val="16"/>
        </w:rPr>
        <w:br/>
      </w:r>
      <w:r w:rsidR="005E04A2" w:rsidRPr="00635B7D">
        <w:rPr>
          <w:rFonts w:cs="Arial"/>
          <w:b/>
          <w:bCs/>
          <w:sz w:val="16"/>
          <w:szCs w:val="16"/>
        </w:rPr>
        <w:t>C</w:t>
      </w:r>
      <w:r w:rsidR="005E04A2">
        <w:rPr>
          <w:rFonts w:cs="Arial"/>
          <w:b/>
          <w:bCs/>
          <w:sz w:val="16"/>
          <w:szCs w:val="16"/>
        </w:rPr>
        <w:t>4</w:t>
      </w:r>
      <w:r w:rsidR="005E04A2" w:rsidRPr="00635B7D">
        <w:rPr>
          <w:rFonts w:cs="Arial"/>
          <w:b/>
          <w:bCs/>
          <w:sz w:val="16"/>
          <w:szCs w:val="16"/>
        </w:rPr>
        <w:t>-1</w:t>
      </w:r>
      <w:r w:rsidR="005E04A2">
        <w:rPr>
          <w:rFonts w:cs="Arial"/>
          <w:b/>
          <w:bCs/>
          <w:sz w:val="16"/>
          <w:szCs w:val="16"/>
        </w:rPr>
        <w:t xml:space="preserve"> </w:t>
      </w:r>
      <w:r w:rsidR="005E04A2" w:rsidRPr="00635B7D">
        <w:rPr>
          <w:rFonts w:cs="Arial"/>
          <w:b/>
          <w:bCs/>
          <w:sz w:val="16"/>
          <w:szCs w:val="16"/>
        </w:rPr>
        <w:t>Recognition and Measurement</w:t>
      </w:r>
    </w:p>
    <w:p w14:paraId="0C6253A4" w14:textId="77777777" w:rsidR="005E04A2" w:rsidRPr="00635B7D" w:rsidRDefault="005E04A2" w:rsidP="005E04A2">
      <w:pPr>
        <w:pStyle w:val="Notetext"/>
        <w:spacing w:before="120" w:line="259" w:lineRule="auto"/>
        <w:rPr>
          <w:szCs w:val="16"/>
        </w:rPr>
      </w:pPr>
      <w:r w:rsidRPr="00635B7D">
        <w:rPr>
          <w:szCs w:val="16"/>
        </w:rPr>
        <w:t xml:space="preserve">Intangible assets comprise purchased and internally developed software.  Intangible assets with a historical cost equal to, or greater than, $100,000 are recognised in the financial statements. Items with a lesser value are expensed. Any preliminary research, planning phase costs, administration and training costs are expensed in the period in which it is incurred. </w:t>
      </w:r>
    </w:p>
    <w:p w14:paraId="332F7074" w14:textId="77777777" w:rsidR="005E04A2" w:rsidRPr="00635B7D" w:rsidRDefault="005E04A2" w:rsidP="005E04A2">
      <w:pPr>
        <w:spacing w:before="120" w:line="259" w:lineRule="auto"/>
        <w:rPr>
          <w:rFonts w:cs="Arial"/>
          <w:sz w:val="16"/>
          <w:szCs w:val="16"/>
        </w:rPr>
      </w:pPr>
      <w:r w:rsidRPr="00635B7D">
        <w:rPr>
          <w:rFonts w:cs="Arial"/>
          <w:sz w:val="16"/>
          <w:szCs w:val="16"/>
        </w:rPr>
        <w:t xml:space="preserve">There is no active market for the Commission’s intangible asset. As such, </w:t>
      </w:r>
      <w:r>
        <w:rPr>
          <w:rFonts w:cs="Arial"/>
          <w:sz w:val="16"/>
          <w:szCs w:val="16"/>
        </w:rPr>
        <w:t xml:space="preserve">the </w:t>
      </w:r>
      <w:r w:rsidRPr="00635B7D">
        <w:rPr>
          <w:rFonts w:cs="Arial"/>
          <w:sz w:val="16"/>
          <w:szCs w:val="16"/>
        </w:rPr>
        <w:t>intangible asset</w:t>
      </w:r>
      <w:r>
        <w:rPr>
          <w:rFonts w:cs="Arial"/>
          <w:sz w:val="16"/>
          <w:szCs w:val="16"/>
        </w:rPr>
        <w:t xml:space="preserve"> is</w:t>
      </w:r>
      <w:r w:rsidRPr="00635B7D">
        <w:rPr>
          <w:rFonts w:cs="Arial"/>
          <w:sz w:val="16"/>
          <w:szCs w:val="16"/>
        </w:rPr>
        <w:t xml:space="preserve"> recognised and carried at historical cost less accumulated amortisation and accumulated impairment losses. </w:t>
      </w:r>
    </w:p>
    <w:p w14:paraId="3DF9DC9F" w14:textId="77777777" w:rsidR="005E04A2" w:rsidRPr="00635B7D" w:rsidRDefault="005E04A2" w:rsidP="005E04A2">
      <w:pPr>
        <w:spacing w:before="120" w:line="259" w:lineRule="auto"/>
        <w:rPr>
          <w:rFonts w:cs="Arial"/>
          <w:sz w:val="16"/>
          <w:szCs w:val="16"/>
        </w:rPr>
      </w:pPr>
      <w:r w:rsidRPr="00635B7D">
        <w:rPr>
          <w:rFonts w:cs="Arial"/>
          <w:sz w:val="16"/>
          <w:szCs w:val="16"/>
        </w:rPr>
        <w:t>Costs associated with the internal development of computer software are capitalised and amortised under the amortisation policy below.</w:t>
      </w:r>
    </w:p>
    <w:p w14:paraId="3591885E" w14:textId="77777777" w:rsidR="005E04A2" w:rsidRPr="00851A31" w:rsidRDefault="005E04A2" w:rsidP="005E04A2">
      <w:pPr>
        <w:spacing w:before="120" w:line="259" w:lineRule="auto"/>
        <w:rPr>
          <w:rFonts w:cs="Arial"/>
          <w:sz w:val="16"/>
          <w:szCs w:val="16"/>
        </w:rPr>
      </w:pPr>
      <w:r w:rsidRPr="00635B7D">
        <w:rPr>
          <w:rFonts w:cs="Arial"/>
          <w:sz w:val="16"/>
          <w:szCs w:val="16"/>
        </w:rPr>
        <w:t xml:space="preserve">No intangible assets have been classified as held for sale or form part of a disposal group held for sale. </w:t>
      </w:r>
    </w:p>
    <w:p w14:paraId="2B29585D" w14:textId="77777777" w:rsidR="005E04A2" w:rsidRDefault="005E04A2" w:rsidP="005E04A2">
      <w:pPr>
        <w:pStyle w:val="Notetext"/>
        <w:spacing w:before="120" w:line="259" w:lineRule="auto"/>
        <w:rPr>
          <w:b/>
          <w:szCs w:val="16"/>
        </w:rPr>
      </w:pPr>
      <w:r w:rsidRPr="00851A31">
        <w:rPr>
          <w:rFonts w:eastAsia="SimSun"/>
          <w:szCs w:val="16"/>
        </w:rPr>
        <w:t xml:space="preserve">The Commission recognises SaaS or cloud computing arrangements as assets where they enhance, modify, or create additional capability to owned software. Judgement has been applied in determining whether the customisation to the owned software meets the definition of and recognition criteria for an intangible asset in accordance with AASB 138 </w:t>
      </w:r>
      <w:r w:rsidRPr="00C02F71">
        <w:rPr>
          <w:rFonts w:eastAsia="SimSun"/>
          <w:i/>
          <w:iCs/>
          <w:szCs w:val="16"/>
        </w:rPr>
        <w:t>Intangible Assets</w:t>
      </w:r>
      <w:r w:rsidRPr="00851A31">
        <w:rPr>
          <w:rFonts w:eastAsia="SimSun"/>
          <w:szCs w:val="16"/>
        </w:rPr>
        <w:t>.</w:t>
      </w:r>
    </w:p>
    <w:p w14:paraId="7D637CF8" w14:textId="086C1100" w:rsidR="005E04A2" w:rsidRPr="00635B7D" w:rsidRDefault="005E04A2" w:rsidP="005E04A2">
      <w:pPr>
        <w:rPr>
          <w:rFonts w:cs="Arial"/>
          <w:b/>
          <w:sz w:val="16"/>
          <w:szCs w:val="16"/>
        </w:rPr>
      </w:pPr>
      <w:r w:rsidRPr="00635B7D">
        <w:rPr>
          <w:rFonts w:cs="Arial"/>
          <w:b/>
          <w:sz w:val="16"/>
          <w:szCs w:val="16"/>
        </w:rPr>
        <w:t>C</w:t>
      </w:r>
      <w:r>
        <w:rPr>
          <w:rFonts w:cs="Arial"/>
          <w:b/>
          <w:sz w:val="16"/>
          <w:szCs w:val="16"/>
        </w:rPr>
        <w:t>4</w:t>
      </w:r>
      <w:r w:rsidRPr="00635B7D">
        <w:rPr>
          <w:rFonts w:cs="Arial"/>
          <w:b/>
          <w:sz w:val="16"/>
          <w:szCs w:val="16"/>
        </w:rPr>
        <w:t>-2</w:t>
      </w:r>
      <w:r>
        <w:rPr>
          <w:rFonts w:cs="Arial"/>
          <w:b/>
          <w:sz w:val="16"/>
          <w:szCs w:val="16"/>
        </w:rPr>
        <w:t xml:space="preserve"> </w:t>
      </w:r>
      <w:r w:rsidRPr="00635B7D">
        <w:rPr>
          <w:rFonts w:cs="Arial"/>
          <w:b/>
          <w:sz w:val="16"/>
          <w:szCs w:val="16"/>
        </w:rPr>
        <w:t>Amortisation Expense and Impairment</w:t>
      </w:r>
    </w:p>
    <w:p w14:paraId="56C5E3E9" w14:textId="77777777" w:rsidR="005E04A2" w:rsidRPr="00635B7D" w:rsidRDefault="005E04A2" w:rsidP="005E04A2">
      <w:pPr>
        <w:pStyle w:val="Notetext"/>
        <w:rPr>
          <w:szCs w:val="16"/>
        </w:rPr>
      </w:pPr>
      <w:r w:rsidRPr="00635B7D">
        <w:rPr>
          <w:szCs w:val="16"/>
        </w:rPr>
        <w:t>The intangible asset of the Commission</w:t>
      </w:r>
      <w:r>
        <w:rPr>
          <w:szCs w:val="16"/>
        </w:rPr>
        <w:t xml:space="preserve"> is an internally generated software and</w:t>
      </w:r>
      <w:r w:rsidRPr="00635B7D">
        <w:rPr>
          <w:szCs w:val="16"/>
        </w:rPr>
        <w:t xml:space="preserve"> has finite useful li</w:t>
      </w:r>
      <w:r>
        <w:rPr>
          <w:szCs w:val="16"/>
        </w:rPr>
        <w:t>fe</w:t>
      </w:r>
      <w:r w:rsidRPr="00635B7D">
        <w:rPr>
          <w:szCs w:val="16"/>
        </w:rPr>
        <w:t xml:space="preserve"> and </w:t>
      </w:r>
      <w:r>
        <w:rPr>
          <w:szCs w:val="16"/>
        </w:rPr>
        <w:t>is</w:t>
      </w:r>
      <w:r w:rsidRPr="00635B7D">
        <w:rPr>
          <w:szCs w:val="16"/>
        </w:rPr>
        <w:t xml:space="preserve"> amortised on a straight-line basis over </w:t>
      </w:r>
      <w:r>
        <w:rPr>
          <w:szCs w:val="16"/>
        </w:rPr>
        <w:t>its</w:t>
      </w:r>
      <w:r w:rsidRPr="00635B7D">
        <w:rPr>
          <w:szCs w:val="16"/>
        </w:rPr>
        <w:t xml:space="preserve"> estimated useful life.  Straight line amortisation is used</w:t>
      </w:r>
      <w:r>
        <w:rPr>
          <w:szCs w:val="16"/>
        </w:rPr>
        <w:t>,</w:t>
      </w:r>
      <w:r w:rsidRPr="00635B7D">
        <w:rPr>
          <w:szCs w:val="16"/>
        </w:rPr>
        <w:t xml:space="preserve"> reflecting the expected consumption of economic benefits on a progressive basis over the intangible’s useful life. The residual value of all the Commission’s intangible asset is zero</w:t>
      </w:r>
      <w:r>
        <w:rPr>
          <w:szCs w:val="16"/>
        </w:rPr>
        <w:t>.</w:t>
      </w:r>
    </w:p>
    <w:p w14:paraId="4BCD4A06" w14:textId="15FE075E" w:rsidR="00E81C34" w:rsidRDefault="005E04A2" w:rsidP="00E81C34">
      <w:pPr>
        <w:pStyle w:val="Notetext"/>
        <w:rPr>
          <w:szCs w:val="16"/>
        </w:rPr>
      </w:pPr>
      <w:r w:rsidRPr="00635B7D">
        <w:rPr>
          <w:szCs w:val="16"/>
        </w:rPr>
        <w:t xml:space="preserve">The amortisation rate for the current year is </w:t>
      </w:r>
      <w:r>
        <w:rPr>
          <w:szCs w:val="16"/>
        </w:rPr>
        <w:t>20</w:t>
      </w:r>
      <w:r w:rsidRPr="00C82499">
        <w:rPr>
          <w:szCs w:val="16"/>
        </w:rPr>
        <w:t>% (2021</w:t>
      </w:r>
      <w:r w:rsidR="008C5FD5">
        <w:rPr>
          <w:szCs w:val="16"/>
        </w:rPr>
        <w:t>–</w:t>
      </w:r>
      <w:r w:rsidRPr="00C82499">
        <w:rPr>
          <w:szCs w:val="16"/>
        </w:rPr>
        <w:t xml:space="preserve">22 Nil). </w:t>
      </w:r>
      <w:r w:rsidR="0078596D">
        <w:rPr>
          <w:szCs w:val="16"/>
        </w:rPr>
        <w:br/>
      </w:r>
    </w:p>
    <w:p w14:paraId="0ABEA43C" w14:textId="35C114A5" w:rsidR="007012E1" w:rsidRDefault="003B4964" w:rsidP="00E81C34">
      <w:pPr>
        <w:pStyle w:val="Notetext"/>
        <w:rPr>
          <w:szCs w:val="16"/>
        </w:rPr>
      </w:pPr>
      <w:r>
        <w:rPr>
          <w:szCs w:val="16"/>
        </w:rPr>
        <w:pict w14:anchorId="2390D64D">
          <v:shape id="_x0000_i1039" type="#_x0000_t75" alt="Table showing payables." style="width:481.5pt;height:92.65pt;mso-position-horizontal:center;mso-position-vertical:center">
            <v:imagedata r:id="rId56" o:title=""/>
          </v:shape>
        </w:pict>
      </w:r>
    </w:p>
    <w:p w14:paraId="23922F83" w14:textId="77777777" w:rsidR="0020107F" w:rsidRDefault="0020107F" w:rsidP="0020107F">
      <w:pPr>
        <w:spacing w:before="120" w:line="259" w:lineRule="auto"/>
        <w:rPr>
          <w:rFonts w:cs="Arial"/>
          <w:sz w:val="16"/>
          <w:szCs w:val="20"/>
        </w:rPr>
      </w:pPr>
      <w:r w:rsidRPr="00196AAA">
        <w:rPr>
          <w:rFonts w:eastAsia="Times New Roman" w:cs="Arial"/>
          <w:sz w:val="16"/>
          <w:szCs w:val="20"/>
        </w:rPr>
        <w:t xml:space="preserve">Trade creditors are recognised upon receipt of the goods and services ordered and are measured at the purchase contract price, net of applicable trade and other discounts. </w:t>
      </w:r>
      <w:r w:rsidRPr="00196AAA">
        <w:rPr>
          <w:rFonts w:cs="Arial"/>
          <w:sz w:val="16"/>
          <w:szCs w:val="20"/>
        </w:rPr>
        <w:t xml:space="preserve">Amounts owing are unsecured and are recognised as a current liability. </w:t>
      </w:r>
      <w:r>
        <w:rPr>
          <w:rFonts w:cs="Arial"/>
          <w:sz w:val="16"/>
          <w:szCs w:val="20"/>
        </w:rPr>
        <w:t>The Commission has adopted the Queensland Government On-Time Payment Policy where eligible invoices from small businesses are paid within 20 calendar days.</w:t>
      </w:r>
    </w:p>
    <w:p w14:paraId="24660FA4" w14:textId="5418C3E8" w:rsidR="00811EC3" w:rsidRDefault="00811EC3">
      <w:pPr>
        <w:rPr>
          <w:rFonts w:cs="Arial"/>
          <w:sz w:val="16"/>
          <w:szCs w:val="16"/>
        </w:rPr>
      </w:pPr>
      <w:r>
        <w:rPr>
          <w:rFonts w:cs="Arial"/>
          <w:sz w:val="16"/>
          <w:szCs w:val="16"/>
        </w:rPr>
        <w:br w:type="page"/>
      </w:r>
    </w:p>
    <w:p w14:paraId="552070C6" w14:textId="05BEBB77" w:rsidR="00D838A4" w:rsidRDefault="003B4964" w:rsidP="00BA63F2">
      <w:pPr>
        <w:tabs>
          <w:tab w:val="left" w:pos="284"/>
        </w:tabs>
        <w:rPr>
          <w:rFonts w:cs="Arial"/>
          <w:sz w:val="16"/>
          <w:szCs w:val="16"/>
        </w:rPr>
      </w:pPr>
      <w:r>
        <w:rPr>
          <w:bCs/>
          <w:szCs w:val="16"/>
        </w:rPr>
        <w:lastRenderedPageBreak/>
        <w:pict w14:anchorId="177ACD58">
          <v:shape id="_x0000_i1040" type="#_x0000_t75" alt="Table showing accrued employee benefits." style="width:482.25pt;height:121.5pt;mso-position-horizontal:center">
            <v:imagedata r:id="rId57" o:title=""/>
          </v:shape>
        </w:pict>
      </w:r>
    </w:p>
    <w:p w14:paraId="706D2A1E" w14:textId="77777777" w:rsidR="002641E4" w:rsidRPr="00196AAA" w:rsidRDefault="002641E4" w:rsidP="002641E4">
      <w:pPr>
        <w:pStyle w:val="Notetext"/>
        <w:spacing w:before="120" w:line="259" w:lineRule="auto"/>
        <w:rPr>
          <w:bCs/>
          <w:szCs w:val="16"/>
        </w:rPr>
      </w:pPr>
      <w:r w:rsidRPr="00196AAA">
        <w:rPr>
          <w:bCs/>
          <w:szCs w:val="16"/>
        </w:rPr>
        <w:t xml:space="preserve">No provision for </w:t>
      </w:r>
      <w:r>
        <w:rPr>
          <w:bCs/>
          <w:szCs w:val="16"/>
        </w:rPr>
        <w:t>annual leave</w:t>
      </w:r>
      <w:r w:rsidRPr="00196AAA">
        <w:rPr>
          <w:bCs/>
          <w:szCs w:val="16"/>
        </w:rPr>
        <w:t xml:space="preserve"> or </w:t>
      </w:r>
      <w:r>
        <w:rPr>
          <w:bCs/>
          <w:szCs w:val="16"/>
        </w:rPr>
        <w:t>long service leave</w:t>
      </w:r>
      <w:r w:rsidRPr="00196AAA">
        <w:rPr>
          <w:bCs/>
          <w:szCs w:val="16"/>
        </w:rPr>
        <w:t xml:space="preserve"> is recognised in the Commission’s financial statements as the liability is held on </w:t>
      </w:r>
      <w:proofErr w:type="gramStart"/>
      <w:r w:rsidRPr="00196AAA">
        <w:rPr>
          <w:bCs/>
          <w:szCs w:val="16"/>
        </w:rPr>
        <w:t>a</w:t>
      </w:r>
      <w:proofErr w:type="gramEnd"/>
      <w:r w:rsidRPr="00196AAA">
        <w:rPr>
          <w:bCs/>
          <w:szCs w:val="16"/>
        </w:rPr>
        <w:t xml:space="preserve"> whole of government basis and reported in those financial statements pursuant to AASB 1049 </w:t>
      </w:r>
      <w:r w:rsidRPr="00196AAA">
        <w:rPr>
          <w:bCs/>
          <w:i/>
          <w:szCs w:val="16"/>
        </w:rPr>
        <w:t>Whole of Government and General Government Sector Financial Reporting</w:t>
      </w:r>
      <w:r w:rsidRPr="00196AAA">
        <w:rPr>
          <w:bCs/>
          <w:szCs w:val="16"/>
        </w:rPr>
        <w:t>.</w:t>
      </w:r>
    </w:p>
    <w:p w14:paraId="595DCFF5" w14:textId="77777777" w:rsidR="00E81C34" w:rsidRDefault="002641E4" w:rsidP="00E81C34">
      <w:pPr>
        <w:pStyle w:val="Notetext"/>
        <w:spacing w:before="120" w:after="0" w:line="259" w:lineRule="auto"/>
        <w:rPr>
          <w:bCs/>
          <w:szCs w:val="16"/>
        </w:rPr>
      </w:pPr>
      <w:r w:rsidRPr="00196AAA">
        <w:rPr>
          <w:bCs/>
          <w:szCs w:val="16"/>
        </w:rPr>
        <w:t>Accrued salaries and wages represent due but unpaid wages and salaries. They are recognised at current salary rates as it is expected these liabilities will be wholly settled within 12 months of year end.</w:t>
      </w:r>
    </w:p>
    <w:p w14:paraId="07A47EC3" w14:textId="6B048C4F" w:rsidR="00E81C34" w:rsidRPr="00E81C34" w:rsidRDefault="003B4964" w:rsidP="00E81C34">
      <w:pPr>
        <w:pStyle w:val="Notetext"/>
        <w:spacing w:before="120" w:after="0" w:line="259" w:lineRule="auto"/>
      </w:pPr>
      <w:r>
        <w:rPr>
          <w:bCs/>
          <w:szCs w:val="16"/>
        </w:rPr>
        <w:pict w14:anchorId="5FA9E946">
          <v:shape id="_x0000_i1041" type="#_x0000_t75" alt="Table showing appropriations recognised in equity." style="width:483pt;height:145.5pt;mso-position-horizontal:center;mso-position-horizontal-relative:text;mso-position-vertical:absolute;mso-position-vertical-relative:text;mso-width-relative:page;mso-height-relative:page">
            <v:imagedata r:id="rId58" o:title=""/>
          </v:shape>
        </w:pict>
      </w:r>
      <w:r w:rsidR="001819DB">
        <w:rPr>
          <w:bCs/>
          <w:szCs w:val="16"/>
        </w:rPr>
        <w:br/>
      </w:r>
      <w:r w:rsidR="00737238" w:rsidRPr="000D4EE3">
        <w:t>Section D: Notes about our Risks and other Accounting Uncertainties</w:t>
      </w:r>
      <w:r w:rsidR="00E81C34">
        <w:br/>
      </w:r>
    </w:p>
    <w:p w14:paraId="668012A2" w14:textId="36B833BE" w:rsidR="00737238" w:rsidRPr="00196AAA" w:rsidRDefault="00737238" w:rsidP="00737238">
      <w:pPr>
        <w:jc w:val="both"/>
      </w:pPr>
      <w:r>
        <w:rPr>
          <w:rFonts w:cs="Arial"/>
          <w:b/>
          <w:sz w:val="18"/>
          <w:szCs w:val="18"/>
        </w:rPr>
        <w:t>D</w:t>
      </w:r>
      <w:r w:rsidRPr="00196AAA">
        <w:rPr>
          <w:rFonts w:cs="Arial"/>
          <w:b/>
          <w:sz w:val="18"/>
          <w:szCs w:val="18"/>
        </w:rPr>
        <w:t xml:space="preserve">1 </w:t>
      </w:r>
      <w:bookmarkStart w:id="520" w:name="_Toc479582357"/>
      <w:r w:rsidRPr="00196AAA">
        <w:rPr>
          <w:rFonts w:cs="Arial"/>
          <w:b/>
          <w:sz w:val="18"/>
          <w:szCs w:val="18"/>
        </w:rPr>
        <w:t>Contingencies</w:t>
      </w:r>
      <w:bookmarkEnd w:id="520"/>
    </w:p>
    <w:p w14:paraId="5A57C90A" w14:textId="77777777" w:rsidR="00737238" w:rsidRDefault="00737238" w:rsidP="00737238">
      <w:pPr>
        <w:spacing w:before="120" w:line="259" w:lineRule="auto"/>
        <w:rPr>
          <w:rFonts w:eastAsia="Calibri" w:cs="Arial"/>
          <w:color w:val="000000"/>
          <w:sz w:val="16"/>
          <w:szCs w:val="16"/>
        </w:rPr>
      </w:pPr>
      <w:r>
        <w:rPr>
          <w:rFonts w:eastAsia="Calibri" w:cs="Arial"/>
          <w:color w:val="000000"/>
          <w:sz w:val="16"/>
          <w:szCs w:val="16"/>
        </w:rPr>
        <w:t xml:space="preserve">Effective 1 July 2001, the Commission joined the Queensland Government Insurance Fund (QGIF). Under the QGIF, the Commission would be able to claim back, less a $10,000 deduction, the amount paid to successful litigants. This includes any cases that existed as </w:t>
      </w:r>
      <w:proofErr w:type="gramStart"/>
      <w:r>
        <w:rPr>
          <w:rFonts w:eastAsia="Calibri" w:cs="Arial"/>
          <w:color w:val="000000"/>
          <w:sz w:val="16"/>
          <w:szCs w:val="16"/>
        </w:rPr>
        <w:t>at</w:t>
      </w:r>
      <w:proofErr w:type="gramEnd"/>
      <w:r>
        <w:rPr>
          <w:rFonts w:eastAsia="Calibri" w:cs="Arial"/>
          <w:color w:val="000000"/>
          <w:sz w:val="16"/>
          <w:szCs w:val="16"/>
        </w:rPr>
        <w:t xml:space="preserve"> 1 July 2001 and cases that have arisen since that date.</w:t>
      </w:r>
    </w:p>
    <w:p w14:paraId="74C85C99" w14:textId="53193556" w:rsidR="00737238" w:rsidRDefault="00737238" w:rsidP="00737238">
      <w:pPr>
        <w:spacing w:before="120" w:line="259" w:lineRule="auto"/>
        <w:rPr>
          <w:rFonts w:eastAsia="Calibri" w:cs="Arial"/>
          <w:color w:val="000000"/>
          <w:sz w:val="16"/>
          <w:szCs w:val="16"/>
        </w:rPr>
      </w:pPr>
      <w:r w:rsidRPr="00196AAA">
        <w:rPr>
          <w:rFonts w:eastAsia="Calibri" w:cs="Arial"/>
          <w:color w:val="000000"/>
          <w:sz w:val="16"/>
          <w:szCs w:val="16"/>
        </w:rPr>
        <w:t>There are no legal actions or insurance claims that have been undertaken by or against the Commission at reporting date.</w:t>
      </w:r>
    </w:p>
    <w:p w14:paraId="1515A5FC" w14:textId="7EFFCF14" w:rsidR="009027C9" w:rsidRPr="00196AAA" w:rsidRDefault="009027C9" w:rsidP="009027C9">
      <w:pPr>
        <w:jc w:val="both"/>
        <w:rPr>
          <w:rFonts w:cs="Arial"/>
          <w:b/>
          <w:sz w:val="18"/>
          <w:szCs w:val="18"/>
        </w:rPr>
      </w:pPr>
      <w:r>
        <w:rPr>
          <w:rFonts w:cs="Arial"/>
          <w:b/>
          <w:sz w:val="18"/>
          <w:szCs w:val="18"/>
        </w:rPr>
        <w:t>D2</w:t>
      </w:r>
      <w:r w:rsidRPr="00196AAA">
        <w:rPr>
          <w:rFonts w:cs="Arial"/>
          <w:b/>
          <w:sz w:val="18"/>
          <w:szCs w:val="18"/>
        </w:rPr>
        <w:t xml:space="preserve"> Financial Risk Disclosures</w:t>
      </w:r>
    </w:p>
    <w:p w14:paraId="7A8D5E47" w14:textId="77777777" w:rsidR="009027C9" w:rsidRPr="00196AAA" w:rsidRDefault="009027C9" w:rsidP="009027C9">
      <w:pPr>
        <w:tabs>
          <w:tab w:val="left" w:pos="6663"/>
          <w:tab w:val="left" w:pos="7938"/>
        </w:tabs>
        <w:spacing w:before="120" w:line="259" w:lineRule="auto"/>
        <w:jc w:val="both"/>
        <w:rPr>
          <w:rFonts w:cs="Arial"/>
          <w:b/>
          <w:sz w:val="18"/>
          <w:szCs w:val="18"/>
        </w:rPr>
      </w:pPr>
      <w:r>
        <w:rPr>
          <w:rFonts w:cs="Arial"/>
          <w:b/>
          <w:sz w:val="18"/>
          <w:szCs w:val="18"/>
        </w:rPr>
        <w:t>D2</w:t>
      </w:r>
      <w:r w:rsidRPr="00196AAA">
        <w:rPr>
          <w:rFonts w:cs="Arial"/>
          <w:b/>
          <w:sz w:val="18"/>
          <w:szCs w:val="18"/>
        </w:rPr>
        <w:t>-1 Financial Instruments Categories</w:t>
      </w:r>
    </w:p>
    <w:p w14:paraId="1C66D0AB" w14:textId="77777777" w:rsidR="009027C9" w:rsidRPr="00196AAA" w:rsidRDefault="009027C9" w:rsidP="009027C9">
      <w:pPr>
        <w:tabs>
          <w:tab w:val="left" w:pos="6663"/>
          <w:tab w:val="left" w:pos="7938"/>
        </w:tabs>
        <w:spacing w:before="120" w:line="259" w:lineRule="auto"/>
        <w:rPr>
          <w:rFonts w:cs="Arial"/>
          <w:sz w:val="16"/>
          <w:szCs w:val="16"/>
        </w:rPr>
      </w:pPr>
      <w:r w:rsidRPr="00196AAA">
        <w:rPr>
          <w:rFonts w:cs="Arial"/>
          <w:sz w:val="16"/>
          <w:szCs w:val="16"/>
        </w:rPr>
        <w:t>Financial assets and financial liabilities are recognised in the Statement of Financial Position when the Commission becomes party to the contractual provisions of the financial instrument. No financial assets and financial liabilities have been offset and presented net in the Statement of Financial Position.</w:t>
      </w:r>
    </w:p>
    <w:p w14:paraId="0BA73033" w14:textId="23BDEB62" w:rsidR="00E81C34" w:rsidRDefault="009027C9" w:rsidP="00E81C34">
      <w:pPr>
        <w:spacing w:before="120" w:line="259" w:lineRule="auto"/>
        <w:rPr>
          <w:rFonts w:cs="Arial"/>
          <w:b/>
          <w:sz w:val="18"/>
          <w:szCs w:val="18"/>
        </w:rPr>
      </w:pPr>
      <w:r w:rsidRPr="00196AAA">
        <w:rPr>
          <w:rFonts w:cs="Arial"/>
          <w:bCs/>
          <w:sz w:val="16"/>
          <w:szCs w:val="16"/>
        </w:rPr>
        <w:t>The Commission has the following categories of financial assets and financial liabilities:</w:t>
      </w:r>
      <w:r w:rsidR="003B4964">
        <w:rPr>
          <w:rFonts w:cs="Arial"/>
          <w:b/>
          <w:sz w:val="18"/>
          <w:szCs w:val="18"/>
        </w:rPr>
        <w:pict w14:anchorId="7DF6BBC4">
          <v:shape id="_x0000_i1042" type="#_x0000_t75" alt="Table showing financial assets and financial liabilities." style="width:485.65pt;height:172.5pt;mso-position-horizontal:center">
            <v:imagedata r:id="rId59" o:title=""/>
          </v:shape>
        </w:pict>
      </w:r>
      <w:r w:rsidR="001A3964">
        <w:rPr>
          <w:rFonts w:cs="Arial"/>
          <w:b/>
          <w:sz w:val="18"/>
          <w:szCs w:val="18"/>
        </w:rPr>
        <w:br/>
      </w:r>
    </w:p>
    <w:p w14:paraId="43D1B24D" w14:textId="14408E7E" w:rsidR="00266F96" w:rsidRPr="00196AAA" w:rsidRDefault="00266F96" w:rsidP="00E81C34">
      <w:pPr>
        <w:spacing w:before="120" w:line="259" w:lineRule="auto"/>
        <w:rPr>
          <w:rFonts w:cs="Arial"/>
          <w:b/>
          <w:sz w:val="18"/>
          <w:szCs w:val="18"/>
        </w:rPr>
      </w:pPr>
      <w:r>
        <w:rPr>
          <w:rFonts w:cs="Arial"/>
          <w:b/>
          <w:sz w:val="18"/>
          <w:szCs w:val="18"/>
        </w:rPr>
        <w:t>D2</w:t>
      </w:r>
      <w:r w:rsidRPr="00196AAA">
        <w:rPr>
          <w:rFonts w:cs="Arial"/>
          <w:b/>
          <w:sz w:val="18"/>
          <w:szCs w:val="18"/>
        </w:rPr>
        <w:t>-2 Financial Risk Management</w:t>
      </w:r>
    </w:p>
    <w:p w14:paraId="5EB21F7E" w14:textId="77777777" w:rsidR="00266F96" w:rsidRDefault="00266F96" w:rsidP="00266F96">
      <w:pPr>
        <w:spacing w:before="120" w:line="259" w:lineRule="auto"/>
        <w:jc w:val="both"/>
        <w:rPr>
          <w:rFonts w:cs="Arial"/>
          <w:sz w:val="16"/>
          <w:szCs w:val="16"/>
        </w:rPr>
      </w:pPr>
      <w:r>
        <w:rPr>
          <w:rFonts w:cs="Arial"/>
          <w:sz w:val="16"/>
          <w:szCs w:val="16"/>
        </w:rPr>
        <w:lastRenderedPageBreak/>
        <w:t>Financial risk management is implemented pursuant to government and departmental policy. These policies focus on the unpredictability of financial markets and seek to minimise potential adverse effects on the financial performance of the department.</w:t>
      </w:r>
    </w:p>
    <w:p w14:paraId="2AED9362" w14:textId="29A7C13C" w:rsidR="00266F96" w:rsidRPr="00E81C34" w:rsidRDefault="00266F96" w:rsidP="00E81C34">
      <w:pPr>
        <w:spacing w:before="120" w:line="259" w:lineRule="auto"/>
        <w:jc w:val="both"/>
        <w:rPr>
          <w:rFonts w:cs="Arial"/>
          <w:sz w:val="16"/>
          <w:szCs w:val="16"/>
        </w:rPr>
      </w:pPr>
      <w:r w:rsidRPr="00D87006">
        <w:rPr>
          <w:rFonts w:cs="Arial"/>
          <w:sz w:val="16"/>
          <w:szCs w:val="16"/>
        </w:rPr>
        <w:t>The department measures risk exposure using a variety of methods as follows:</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95"/>
        <w:gridCol w:w="3234"/>
      </w:tblGrid>
      <w:tr w:rsidR="00266F96" w:rsidRPr="003A0D38" w14:paraId="2A439661" w14:textId="77777777" w:rsidTr="00E81C34">
        <w:tc>
          <w:tcPr>
            <w:tcW w:w="2295" w:type="dxa"/>
            <w:shd w:val="clear" w:color="auto" w:fill="auto"/>
            <w:vAlign w:val="center"/>
          </w:tcPr>
          <w:p w14:paraId="773BF096" w14:textId="77777777" w:rsidR="00266F96" w:rsidRPr="003A0D38" w:rsidRDefault="00266F96" w:rsidP="00C36243">
            <w:pPr>
              <w:spacing w:before="40" w:after="40"/>
              <w:rPr>
                <w:rFonts w:cs="Arial"/>
                <w:b/>
                <w:sz w:val="16"/>
                <w:szCs w:val="16"/>
              </w:rPr>
            </w:pPr>
            <w:r w:rsidRPr="003A0D38">
              <w:rPr>
                <w:rFonts w:cs="Arial"/>
                <w:b/>
                <w:sz w:val="16"/>
                <w:szCs w:val="16"/>
              </w:rPr>
              <w:t>Risk Exposure</w:t>
            </w:r>
          </w:p>
        </w:tc>
        <w:tc>
          <w:tcPr>
            <w:tcW w:w="3234" w:type="dxa"/>
            <w:shd w:val="clear" w:color="auto" w:fill="auto"/>
            <w:vAlign w:val="center"/>
          </w:tcPr>
          <w:p w14:paraId="5189B077" w14:textId="77777777" w:rsidR="00266F96" w:rsidRPr="003A0D38" w:rsidRDefault="00266F96" w:rsidP="00C36243">
            <w:pPr>
              <w:spacing w:before="40" w:after="40"/>
              <w:rPr>
                <w:rFonts w:cs="Arial"/>
                <w:b/>
                <w:sz w:val="16"/>
                <w:szCs w:val="16"/>
              </w:rPr>
            </w:pPr>
            <w:r w:rsidRPr="003A0D38">
              <w:rPr>
                <w:rFonts w:cs="Arial"/>
                <w:b/>
                <w:sz w:val="16"/>
                <w:szCs w:val="16"/>
              </w:rPr>
              <w:t>Measurement Method</w:t>
            </w:r>
          </w:p>
        </w:tc>
      </w:tr>
      <w:tr w:rsidR="00266F96" w:rsidRPr="003A0D38" w14:paraId="73070F81" w14:textId="77777777" w:rsidTr="00E81C34">
        <w:tc>
          <w:tcPr>
            <w:tcW w:w="2295" w:type="dxa"/>
            <w:shd w:val="clear" w:color="auto" w:fill="auto"/>
            <w:vAlign w:val="center"/>
          </w:tcPr>
          <w:p w14:paraId="7DECD636" w14:textId="77777777" w:rsidR="00266F96" w:rsidRPr="003A0D38" w:rsidRDefault="00266F96" w:rsidP="00C36243">
            <w:pPr>
              <w:spacing w:before="40" w:after="40"/>
              <w:rPr>
                <w:rFonts w:cs="Arial"/>
                <w:sz w:val="16"/>
                <w:szCs w:val="16"/>
              </w:rPr>
            </w:pPr>
            <w:r w:rsidRPr="003A0D38">
              <w:rPr>
                <w:rFonts w:cs="Arial"/>
                <w:sz w:val="16"/>
                <w:szCs w:val="16"/>
              </w:rPr>
              <w:t>Credit risk</w:t>
            </w:r>
          </w:p>
        </w:tc>
        <w:tc>
          <w:tcPr>
            <w:tcW w:w="3234" w:type="dxa"/>
            <w:shd w:val="clear" w:color="auto" w:fill="auto"/>
            <w:vAlign w:val="center"/>
          </w:tcPr>
          <w:p w14:paraId="01E2C0B2" w14:textId="77777777" w:rsidR="00266F96" w:rsidRPr="003A0D38" w:rsidRDefault="00266F96" w:rsidP="00C36243">
            <w:pPr>
              <w:spacing w:before="40" w:after="40"/>
              <w:rPr>
                <w:rFonts w:cs="Arial"/>
                <w:sz w:val="16"/>
                <w:szCs w:val="16"/>
              </w:rPr>
            </w:pPr>
            <w:r w:rsidRPr="003A0D38">
              <w:rPr>
                <w:rFonts w:cs="Arial"/>
                <w:sz w:val="16"/>
                <w:szCs w:val="16"/>
              </w:rPr>
              <w:t>Ageing analysis, earnings at risk</w:t>
            </w:r>
          </w:p>
        </w:tc>
      </w:tr>
      <w:tr w:rsidR="00266F96" w:rsidRPr="003A0D38" w14:paraId="7B60C787" w14:textId="77777777" w:rsidTr="00E81C34">
        <w:tc>
          <w:tcPr>
            <w:tcW w:w="2295" w:type="dxa"/>
            <w:shd w:val="clear" w:color="auto" w:fill="auto"/>
            <w:vAlign w:val="center"/>
          </w:tcPr>
          <w:p w14:paraId="70EAB376" w14:textId="77777777" w:rsidR="00266F96" w:rsidRPr="003A0D38" w:rsidRDefault="00266F96" w:rsidP="00C36243">
            <w:pPr>
              <w:spacing w:before="40" w:after="40"/>
              <w:rPr>
                <w:rFonts w:cs="Arial"/>
                <w:sz w:val="16"/>
                <w:szCs w:val="16"/>
              </w:rPr>
            </w:pPr>
            <w:r w:rsidRPr="003A0D38">
              <w:rPr>
                <w:rFonts w:cs="Arial"/>
                <w:sz w:val="16"/>
                <w:szCs w:val="16"/>
              </w:rPr>
              <w:t>Liquidity risk</w:t>
            </w:r>
          </w:p>
        </w:tc>
        <w:tc>
          <w:tcPr>
            <w:tcW w:w="3234" w:type="dxa"/>
            <w:shd w:val="clear" w:color="auto" w:fill="auto"/>
            <w:vAlign w:val="center"/>
          </w:tcPr>
          <w:p w14:paraId="76F3A07D" w14:textId="77777777" w:rsidR="00266F96" w:rsidRPr="003A0D38" w:rsidRDefault="00266F96" w:rsidP="00C36243">
            <w:pPr>
              <w:spacing w:before="40" w:after="40"/>
              <w:rPr>
                <w:rFonts w:cs="Arial"/>
                <w:sz w:val="16"/>
                <w:szCs w:val="16"/>
              </w:rPr>
            </w:pPr>
            <w:r w:rsidRPr="003A0D38">
              <w:rPr>
                <w:rFonts w:cs="Arial"/>
                <w:sz w:val="16"/>
                <w:szCs w:val="16"/>
              </w:rPr>
              <w:t>Sensitivity analysis</w:t>
            </w:r>
          </w:p>
        </w:tc>
      </w:tr>
      <w:tr w:rsidR="00266F96" w:rsidRPr="003A0D38" w14:paraId="43708116" w14:textId="77777777" w:rsidTr="00E81C34">
        <w:tc>
          <w:tcPr>
            <w:tcW w:w="2295" w:type="dxa"/>
            <w:shd w:val="clear" w:color="auto" w:fill="auto"/>
            <w:vAlign w:val="center"/>
          </w:tcPr>
          <w:p w14:paraId="4AD38A71" w14:textId="77777777" w:rsidR="00266F96" w:rsidRPr="003A0D38" w:rsidRDefault="00266F96" w:rsidP="00C36243">
            <w:pPr>
              <w:spacing w:before="40" w:after="40"/>
              <w:rPr>
                <w:rFonts w:cs="Arial"/>
                <w:sz w:val="16"/>
                <w:szCs w:val="16"/>
              </w:rPr>
            </w:pPr>
            <w:r w:rsidRPr="003A0D38">
              <w:rPr>
                <w:rFonts w:cs="Arial"/>
                <w:sz w:val="16"/>
                <w:szCs w:val="16"/>
              </w:rPr>
              <w:t>Market risk</w:t>
            </w:r>
          </w:p>
        </w:tc>
        <w:tc>
          <w:tcPr>
            <w:tcW w:w="3234" w:type="dxa"/>
            <w:shd w:val="clear" w:color="auto" w:fill="auto"/>
            <w:vAlign w:val="center"/>
          </w:tcPr>
          <w:p w14:paraId="3072E964" w14:textId="77777777" w:rsidR="00266F96" w:rsidRPr="003A0D38" w:rsidRDefault="00266F96" w:rsidP="00C36243">
            <w:pPr>
              <w:spacing w:before="40" w:after="40"/>
              <w:rPr>
                <w:rFonts w:cs="Arial"/>
                <w:sz w:val="16"/>
                <w:szCs w:val="16"/>
              </w:rPr>
            </w:pPr>
            <w:r w:rsidRPr="003A0D38">
              <w:rPr>
                <w:rFonts w:cs="Arial"/>
                <w:sz w:val="16"/>
                <w:szCs w:val="16"/>
              </w:rPr>
              <w:t>Interest rate sensitivity analysis</w:t>
            </w:r>
          </w:p>
        </w:tc>
      </w:tr>
    </w:tbl>
    <w:p w14:paraId="4E150813" w14:textId="76F2B405" w:rsidR="00266F96" w:rsidRPr="00D74FAF" w:rsidRDefault="00266F96" w:rsidP="00266F96">
      <w:pPr>
        <w:spacing w:before="120" w:line="259" w:lineRule="auto"/>
        <w:jc w:val="both"/>
        <w:rPr>
          <w:rFonts w:cs="Arial"/>
          <w:b/>
          <w:bCs/>
          <w:sz w:val="16"/>
          <w:szCs w:val="16"/>
        </w:rPr>
      </w:pPr>
      <w:r>
        <w:rPr>
          <w:rFonts w:cs="Arial"/>
          <w:b/>
          <w:bCs/>
          <w:sz w:val="16"/>
          <w:szCs w:val="16"/>
        </w:rPr>
        <w:br/>
      </w:r>
      <w:r w:rsidRPr="00D74FAF">
        <w:rPr>
          <w:rFonts w:cs="Arial"/>
          <w:b/>
          <w:bCs/>
          <w:sz w:val="16"/>
          <w:szCs w:val="16"/>
        </w:rPr>
        <w:t>Credit risk</w:t>
      </w:r>
    </w:p>
    <w:p w14:paraId="17E3AE00" w14:textId="77777777" w:rsidR="00266F96" w:rsidRDefault="00266F96" w:rsidP="00266F96">
      <w:pPr>
        <w:spacing w:before="120" w:line="259" w:lineRule="auto"/>
        <w:jc w:val="both"/>
        <w:rPr>
          <w:rFonts w:cs="Arial"/>
          <w:sz w:val="16"/>
          <w:szCs w:val="16"/>
        </w:rPr>
      </w:pPr>
      <w:r w:rsidRPr="00F40494">
        <w:rPr>
          <w:rFonts w:cs="Arial"/>
          <w:sz w:val="16"/>
          <w:szCs w:val="16"/>
        </w:rPr>
        <w:t xml:space="preserve">Credit risk is the risk that the </w:t>
      </w:r>
      <w:r>
        <w:rPr>
          <w:rFonts w:cs="Arial"/>
          <w:sz w:val="16"/>
          <w:szCs w:val="16"/>
        </w:rPr>
        <w:t>Commission</w:t>
      </w:r>
      <w:r w:rsidRPr="00F40494">
        <w:rPr>
          <w:rFonts w:cs="Arial"/>
          <w:sz w:val="16"/>
          <w:szCs w:val="16"/>
        </w:rPr>
        <w:t xml:space="preserve"> may incur financial loss </w:t>
      </w:r>
      <w:proofErr w:type="gramStart"/>
      <w:r w:rsidRPr="00F40494">
        <w:rPr>
          <w:rFonts w:cs="Arial"/>
          <w:sz w:val="16"/>
          <w:szCs w:val="16"/>
        </w:rPr>
        <w:t>as a result of</w:t>
      </w:r>
      <w:proofErr w:type="gramEnd"/>
      <w:r w:rsidRPr="00F40494">
        <w:rPr>
          <w:rFonts w:cs="Arial"/>
          <w:sz w:val="16"/>
          <w:szCs w:val="16"/>
        </w:rPr>
        <w:t xml:space="preserve"> another party to a financial instrument failing to discharge their obligation.</w:t>
      </w:r>
    </w:p>
    <w:p w14:paraId="1496FB76" w14:textId="77777777" w:rsidR="00266F96" w:rsidRDefault="00266F96" w:rsidP="00266F96">
      <w:pPr>
        <w:spacing w:before="120" w:line="259" w:lineRule="auto"/>
        <w:jc w:val="both"/>
        <w:rPr>
          <w:rFonts w:cs="Arial"/>
          <w:sz w:val="16"/>
          <w:szCs w:val="16"/>
        </w:rPr>
      </w:pPr>
      <w:r w:rsidRPr="00D74FAF">
        <w:rPr>
          <w:rFonts w:cs="Arial"/>
          <w:sz w:val="16"/>
          <w:szCs w:val="16"/>
        </w:rPr>
        <w:t xml:space="preserve">There is minimal credit risk exposure for </w:t>
      </w:r>
      <w:proofErr w:type="gramStart"/>
      <w:r w:rsidRPr="00D74FAF">
        <w:rPr>
          <w:rFonts w:cs="Arial"/>
          <w:sz w:val="16"/>
          <w:szCs w:val="16"/>
        </w:rPr>
        <w:t xml:space="preserve">all </w:t>
      </w:r>
      <w:r>
        <w:rPr>
          <w:rFonts w:cs="Arial"/>
          <w:sz w:val="16"/>
          <w:szCs w:val="16"/>
        </w:rPr>
        <w:t>of</w:t>
      </w:r>
      <w:proofErr w:type="gramEnd"/>
      <w:r>
        <w:rPr>
          <w:rFonts w:cs="Arial"/>
          <w:sz w:val="16"/>
          <w:szCs w:val="16"/>
        </w:rPr>
        <w:t xml:space="preserve"> the Commission’s </w:t>
      </w:r>
      <w:r w:rsidRPr="00D74FAF">
        <w:rPr>
          <w:rFonts w:cs="Arial"/>
          <w:sz w:val="16"/>
          <w:szCs w:val="16"/>
        </w:rPr>
        <w:t>financial assets. The maximum exposure to credit risk at balance date in relation to each class of recognised financial assets is the gross carrying amount of those assets inclusive of provisions for impairment.</w:t>
      </w:r>
    </w:p>
    <w:p w14:paraId="7F399FF3" w14:textId="77777777" w:rsidR="00266F96" w:rsidRPr="00D74FAF" w:rsidRDefault="00266F96" w:rsidP="00266F96">
      <w:pPr>
        <w:spacing w:before="120" w:line="259" w:lineRule="auto"/>
        <w:jc w:val="both"/>
        <w:rPr>
          <w:rFonts w:cs="Arial"/>
          <w:b/>
          <w:bCs/>
          <w:sz w:val="16"/>
          <w:szCs w:val="16"/>
        </w:rPr>
      </w:pPr>
      <w:r w:rsidRPr="00D74FAF">
        <w:rPr>
          <w:rFonts w:cs="Arial"/>
          <w:b/>
          <w:bCs/>
          <w:sz w:val="16"/>
          <w:szCs w:val="16"/>
        </w:rPr>
        <w:t xml:space="preserve">Liquidity risk </w:t>
      </w:r>
    </w:p>
    <w:p w14:paraId="60BA356C" w14:textId="77777777" w:rsidR="00266F96" w:rsidRDefault="00266F96" w:rsidP="00266F96">
      <w:pPr>
        <w:spacing w:before="120" w:line="259" w:lineRule="auto"/>
        <w:jc w:val="both"/>
        <w:rPr>
          <w:rFonts w:cs="Arial"/>
          <w:sz w:val="16"/>
          <w:szCs w:val="16"/>
        </w:rPr>
      </w:pPr>
      <w:r w:rsidRPr="00D74FAF">
        <w:rPr>
          <w:rFonts w:cs="Arial"/>
          <w:sz w:val="16"/>
          <w:szCs w:val="16"/>
        </w:rPr>
        <w:t xml:space="preserve">Liquidity risk is the risk that the </w:t>
      </w:r>
      <w:r>
        <w:rPr>
          <w:rFonts w:cs="Arial"/>
          <w:sz w:val="16"/>
          <w:szCs w:val="16"/>
        </w:rPr>
        <w:t xml:space="preserve">Commission </w:t>
      </w:r>
      <w:r w:rsidRPr="00D74FAF">
        <w:rPr>
          <w:rFonts w:cs="Arial"/>
          <w:sz w:val="16"/>
          <w:szCs w:val="16"/>
        </w:rPr>
        <w:t xml:space="preserve">may encounter difficulty in meeting obligations associated with financial liabilities that are settled by delivering cash or other financial assets. </w:t>
      </w:r>
    </w:p>
    <w:p w14:paraId="62A04BB8" w14:textId="77777777" w:rsidR="00266F96" w:rsidRPr="000E06D4" w:rsidRDefault="00266F96" w:rsidP="00266F96">
      <w:pPr>
        <w:spacing w:before="120" w:line="259" w:lineRule="auto"/>
        <w:jc w:val="both"/>
        <w:rPr>
          <w:rFonts w:cs="Arial"/>
          <w:sz w:val="16"/>
          <w:szCs w:val="16"/>
        </w:rPr>
      </w:pPr>
      <w:r w:rsidRPr="000E06D4">
        <w:rPr>
          <w:rFonts w:cs="Arial"/>
          <w:sz w:val="16"/>
          <w:szCs w:val="16"/>
        </w:rPr>
        <w:t xml:space="preserve">The </w:t>
      </w:r>
      <w:r>
        <w:rPr>
          <w:rFonts w:cs="Arial"/>
          <w:sz w:val="16"/>
          <w:szCs w:val="16"/>
        </w:rPr>
        <w:t>Commission</w:t>
      </w:r>
      <w:r w:rsidRPr="000E06D4">
        <w:rPr>
          <w:rFonts w:cs="Arial"/>
          <w:sz w:val="16"/>
          <w:szCs w:val="16"/>
        </w:rPr>
        <w:t xml:space="preserve"> manages liquidity risk </w:t>
      </w:r>
      <w:proofErr w:type="gramStart"/>
      <w:r w:rsidRPr="000E06D4">
        <w:rPr>
          <w:rFonts w:cs="Arial"/>
          <w:sz w:val="16"/>
          <w:szCs w:val="16"/>
        </w:rPr>
        <w:t>through the use of</w:t>
      </w:r>
      <w:proofErr w:type="gramEnd"/>
      <w:r w:rsidRPr="000E06D4">
        <w:rPr>
          <w:rFonts w:cs="Arial"/>
          <w:sz w:val="16"/>
          <w:szCs w:val="16"/>
        </w:rPr>
        <w:t xml:space="preserve"> a liquidity management strategy. This strategy aims to reduce the exposure to liquidity risk by ensuring the </w:t>
      </w:r>
      <w:r>
        <w:rPr>
          <w:rFonts w:cs="Arial"/>
          <w:sz w:val="16"/>
          <w:szCs w:val="16"/>
        </w:rPr>
        <w:t>Commission</w:t>
      </w:r>
      <w:r w:rsidRPr="000E06D4">
        <w:rPr>
          <w:rFonts w:cs="Arial"/>
          <w:sz w:val="16"/>
          <w:szCs w:val="16"/>
        </w:rPr>
        <w:t xml:space="preserve"> has sufficient funds available to meet employee and supplier obligations as they fall due. </w:t>
      </w:r>
    </w:p>
    <w:p w14:paraId="3A85C9BB" w14:textId="77777777" w:rsidR="00266F96" w:rsidRDefault="00266F96" w:rsidP="00266F96">
      <w:pPr>
        <w:spacing w:before="120" w:line="259" w:lineRule="auto"/>
        <w:jc w:val="both"/>
        <w:rPr>
          <w:rFonts w:cs="Arial"/>
          <w:sz w:val="16"/>
          <w:szCs w:val="16"/>
        </w:rPr>
      </w:pPr>
      <w:r w:rsidRPr="000E06D4">
        <w:rPr>
          <w:rFonts w:cs="Arial"/>
          <w:sz w:val="16"/>
          <w:szCs w:val="16"/>
        </w:rPr>
        <w:t xml:space="preserve">This is achieved by ensuring that minimum levels of cash are held within the various bank accounts </w:t>
      </w:r>
      <w:proofErr w:type="gramStart"/>
      <w:r w:rsidRPr="000E06D4">
        <w:rPr>
          <w:rFonts w:cs="Arial"/>
          <w:sz w:val="16"/>
          <w:szCs w:val="16"/>
        </w:rPr>
        <w:t>so as to</w:t>
      </w:r>
      <w:proofErr w:type="gramEnd"/>
      <w:r w:rsidRPr="000E06D4">
        <w:rPr>
          <w:rFonts w:cs="Arial"/>
          <w:sz w:val="16"/>
          <w:szCs w:val="16"/>
        </w:rPr>
        <w:t xml:space="preserve"> match the expected duration of the </w:t>
      </w:r>
      <w:r>
        <w:rPr>
          <w:rFonts w:cs="Arial"/>
          <w:sz w:val="16"/>
          <w:szCs w:val="16"/>
        </w:rPr>
        <w:t>e</w:t>
      </w:r>
      <w:r w:rsidRPr="000E06D4">
        <w:rPr>
          <w:rFonts w:cs="Arial"/>
          <w:sz w:val="16"/>
          <w:szCs w:val="16"/>
        </w:rPr>
        <w:t>mployee and supplier liabilities.</w:t>
      </w:r>
    </w:p>
    <w:p w14:paraId="3998D663" w14:textId="77777777" w:rsidR="00266F96" w:rsidRPr="00D74FAF" w:rsidRDefault="00266F96" w:rsidP="00266F96">
      <w:pPr>
        <w:spacing w:before="120" w:line="259" w:lineRule="auto"/>
        <w:jc w:val="both"/>
        <w:rPr>
          <w:rFonts w:cs="Arial"/>
          <w:b/>
          <w:bCs/>
          <w:sz w:val="16"/>
          <w:szCs w:val="16"/>
        </w:rPr>
      </w:pPr>
      <w:r w:rsidRPr="00D74FAF">
        <w:rPr>
          <w:rFonts w:cs="Arial"/>
          <w:b/>
          <w:bCs/>
          <w:sz w:val="16"/>
          <w:szCs w:val="16"/>
        </w:rPr>
        <w:t>Market risk</w:t>
      </w:r>
    </w:p>
    <w:p w14:paraId="37656A6F" w14:textId="77777777" w:rsidR="00266F96" w:rsidRPr="00D74FAF" w:rsidRDefault="00266F96" w:rsidP="00266F96">
      <w:pPr>
        <w:spacing w:before="120" w:line="259" w:lineRule="auto"/>
        <w:jc w:val="both"/>
        <w:rPr>
          <w:rFonts w:cs="Arial"/>
          <w:sz w:val="16"/>
          <w:szCs w:val="16"/>
        </w:rPr>
      </w:pPr>
      <w:r w:rsidRPr="00D74FAF">
        <w:rPr>
          <w:rFonts w:cs="Arial"/>
          <w:sz w:val="16"/>
          <w:szCs w:val="16"/>
        </w:rPr>
        <w:t>Market risk is the risk that the fair value or future cash flows of a financial instrument will fluctuate because of changes in market prices. Market risk comprises three types of risk: currency risk, interest rate risk and other price risk.</w:t>
      </w:r>
    </w:p>
    <w:p w14:paraId="48B0EF54" w14:textId="77777777" w:rsidR="00266F96" w:rsidRDefault="00266F96" w:rsidP="00266F96">
      <w:pPr>
        <w:spacing w:before="120" w:line="259" w:lineRule="auto"/>
        <w:jc w:val="both"/>
        <w:rPr>
          <w:rFonts w:cs="Arial"/>
          <w:sz w:val="16"/>
          <w:szCs w:val="16"/>
        </w:rPr>
      </w:pPr>
      <w:r>
        <w:rPr>
          <w:rFonts w:cs="Arial"/>
          <w:sz w:val="16"/>
          <w:szCs w:val="16"/>
        </w:rPr>
        <w:t xml:space="preserve">The Commission does not trade in foreign currency, nor is it materially exposed to interest rate risk and commodity price changes or other market prices. </w:t>
      </w:r>
    </w:p>
    <w:p w14:paraId="6B83007F" w14:textId="3A5FD69E" w:rsidR="004234D3" w:rsidRPr="00196AAA" w:rsidRDefault="004234D3" w:rsidP="004234D3">
      <w:pPr>
        <w:spacing w:before="120" w:line="259" w:lineRule="auto"/>
        <w:jc w:val="both"/>
        <w:rPr>
          <w:rFonts w:cs="Arial"/>
          <w:b/>
          <w:sz w:val="18"/>
          <w:szCs w:val="18"/>
        </w:rPr>
      </w:pPr>
      <w:bookmarkStart w:id="521" w:name="_Hlk141255978"/>
      <w:r>
        <w:rPr>
          <w:rFonts w:cs="Arial"/>
          <w:b/>
          <w:sz w:val="18"/>
          <w:szCs w:val="18"/>
        </w:rPr>
        <w:br/>
        <w:t>D3</w:t>
      </w:r>
      <w:r w:rsidRPr="00196AAA">
        <w:rPr>
          <w:rFonts w:cs="Arial"/>
          <w:b/>
          <w:sz w:val="18"/>
          <w:szCs w:val="18"/>
        </w:rPr>
        <w:t xml:space="preserve"> Events </w:t>
      </w:r>
      <w:r>
        <w:rPr>
          <w:rFonts w:cs="Arial"/>
          <w:b/>
          <w:sz w:val="18"/>
          <w:szCs w:val="18"/>
        </w:rPr>
        <w:t>After the Balance</w:t>
      </w:r>
      <w:r w:rsidRPr="00196AAA">
        <w:rPr>
          <w:rFonts w:cs="Arial"/>
          <w:b/>
          <w:sz w:val="18"/>
          <w:szCs w:val="18"/>
        </w:rPr>
        <w:t xml:space="preserve"> Date</w:t>
      </w:r>
    </w:p>
    <w:bookmarkEnd w:id="521"/>
    <w:p w14:paraId="67D00DC3" w14:textId="77777777" w:rsidR="004234D3" w:rsidRDefault="004234D3" w:rsidP="004234D3">
      <w:pPr>
        <w:spacing w:before="120" w:line="259" w:lineRule="auto"/>
        <w:jc w:val="both"/>
        <w:rPr>
          <w:rFonts w:cs="Arial"/>
          <w:sz w:val="16"/>
          <w:szCs w:val="16"/>
        </w:rPr>
      </w:pPr>
      <w:r w:rsidRPr="007E4E77">
        <w:rPr>
          <w:rFonts w:cs="Arial"/>
          <w:sz w:val="16"/>
          <w:szCs w:val="16"/>
        </w:rPr>
        <w:t>There are no matters of significance to the financial statements which occurred after 30 June 2023.</w:t>
      </w:r>
    </w:p>
    <w:p w14:paraId="0B9DAF61" w14:textId="77777777" w:rsidR="004234D3" w:rsidRDefault="004234D3">
      <w:pPr>
        <w:rPr>
          <w:rFonts w:cs="Arial"/>
          <w:sz w:val="16"/>
          <w:szCs w:val="16"/>
        </w:rPr>
      </w:pPr>
      <w:r>
        <w:rPr>
          <w:rFonts w:cs="Arial"/>
          <w:sz w:val="16"/>
          <w:szCs w:val="16"/>
        </w:rPr>
        <w:br w:type="page"/>
      </w:r>
    </w:p>
    <w:p w14:paraId="06803715" w14:textId="77777777" w:rsidR="00C36243" w:rsidRPr="000D4EE3" w:rsidRDefault="00C36243" w:rsidP="00E81C34">
      <w:pPr>
        <w:pStyle w:val="PSCHeading2"/>
      </w:pPr>
      <w:bookmarkStart w:id="522" w:name="_Toc145672767"/>
      <w:bookmarkStart w:id="523" w:name="_Toc145673165"/>
      <w:bookmarkStart w:id="524" w:name="_Toc145926995"/>
      <w:r w:rsidRPr="000D4EE3">
        <w:lastRenderedPageBreak/>
        <w:t>Section E: Other information</w:t>
      </w:r>
      <w:bookmarkEnd w:id="522"/>
      <w:bookmarkEnd w:id="523"/>
      <w:bookmarkEnd w:id="524"/>
    </w:p>
    <w:p w14:paraId="7FCDE0C4" w14:textId="231D01D9" w:rsidR="00C36243" w:rsidRPr="00196AAA" w:rsidRDefault="00C36243" w:rsidP="00C36243">
      <w:pPr>
        <w:spacing w:before="120" w:line="259" w:lineRule="auto"/>
        <w:rPr>
          <w:rFonts w:cs="Arial"/>
          <w:b/>
          <w:sz w:val="18"/>
          <w:szCs w:val="18"/>
        </w:rPr>
      </w:pPr>
      <w:r>
        <w:rPr>
          <w:rFonts w:cs="Arial"/>
          <w:b/>
          <w:sz w:val="18"/>
          <w:szCs w:val="18"/>
        </w:rPr>
        <w:t xml:space="preserve">E1 </w:t>
      </w:r>
      <w:r w:rsidRPr="00196AAA">
        <w:rPr>
          <w:rFonts w:cs="Arial"/>
          <w:b/>
          <w:sz w:val="18"/>
          <w:szCs w:val="18"/>
        </w:rPr>
        <w:t>Key Management Personnel (KMP)</w:t>
      </w:r>
    </w:p>
    <w:p w14:paraId="1834ABA1" w14:textId="2ADCA39F" w:rsidR="00C36243" w:rsidRPr="00196AAA" w:rsidRDefault="00C36243" w:rsidP="00C36243">
      <w:pPr>
        <w:spacing w:before="120" w:line="259" w:lineRule="auto"/>
        <w:rPr>
          <w:rFonts w:cs="Arial"/>
          <w:b/>
          <w:sz w:val="18"/>
          <w:szCs w:val="18"/>
        </w:rPr>
      </w:pPr>
      <w:r>
        <w:rPr>
          <w:rFonts w:cs="Arial"/>
          <w:b/>
          <w:sz w:val="18"/>
          <w:szCs w:val="18"/>
        </w:rPr>
        <w:t>E1</w:t>
      </w:r>
      <w:r w:rsidRPr="00196AAA">
        <w:rPr>
          <w:rFonts w:cs="Arial"/>
          <w:b/>
          <w:sz w:val="18"/>
          <w:szCs w:val="18"/>
        </w:rPr>
        <w:t>-1 Details of Key Management Personnel</w:t>
      </w:r>
    </w:p>
    <w:p w14:paraId="37A8ECAC" w14:textId="77777777" w:rsidR="00C36243" w:rsidRPr="00196AAA" w:rsidRDefault="00C36243" w:rsidP="00C36243">
      <w:pPr>
        <w:spacing w:before="120" w:line="259" w:lineRule="auto"/>
        <w:rPr>
          <w:rFonts w:cs="Arial"/>
          <w:bCs/>
          <w:sz w:val="16"/>
          <w:szCs w:val="16"/>
        </w:rPr>
      </w:pPr>
      <w:r w:rsidRPr="00196AAA">
        <w:rPr>
          <w:rFonts w:cs="Arial"/>
          <w:bCs/>
          <w:sz w:val="16"/>
          <w:szCs w:val="16"/>
        </w:rPr>
        <w:t xml:space="preserve">The Commission’s responsible Minister is identified as part of the Commission’s KMP, consistent with additional guidance included in the revised version of AASB 124 </w:t>
      </w:r>
      <w:r w:rsidRPr="00196AAA">
        <w:rPr>
          <w:rFonts w:cs="Arial"/>
          <w:bCs/>
          <w:i/>
          <w:sz w:val="16"/>
          <w:szCs w:val="16"/>
        </w:rPr>
        <w:t>Related Party Disclosures</w:t>
      </w:r>
      <w:r w:rsidRPr="00196AAA">
        <w:rPr>
          <w:rFonts w:cs="Arial"/>
          <w:bCs/>
          <w:sz w:val="16"/>
          <w:szCs w:val="16"/>
        </w:rPr>
        <w:t xml:space="preserve">. That Minister is the </w:t>
      </w:r>
      <w:r w:rsidRPr="00B15F77">
        <w:rPr>
          <w:rFonts w:cs="Arial"/>
          <w:bCs/>
          <w:sz w:val="16"/>
          <w:szCs w:val="16"/>
        </w:rPr>
        <w:t>Premier and Minister for the Olympic</w:t>
      </w:r>
      <w:r>
        <w:rPr>
          <w:rFonts w:cs="Arial"/>
          <w:bCs/>
          <w:sz w:val="16"/>
          <w:szCs w:val="16"/>
        </w:rPr>
        <w:t xml:space="preserve"> and Paralympic Games</w:t>
      </w:r>
      <w:r w:rsidRPr="00B15F77">
        <w:rPr>
          <w:rFonts w:cs="Arial"/>
          <w:bCs/>
          <w:sz w:val="16"/>
          <w:szCs w:val="16"/>
        </w:rPr>
        <w:t>.</w:t>
      </w:r>
    </w:p>
    <w:p w14:paraId="668C4A43" w14:textId="3E9FD3D7" w:rsidR="00C36243" w:rsidRDefault="00C36243" w:rsidP="00C36243">
      <w:pPr>
        <w:spacing w:before="120" w:line="259" w:lineRule="auto"/>
        <w:rPr>
          <w:rFonts w:cs="Arial"/>
          <w:bCs/>
          <w:sz w:val="16"/>
          <w:szCs w:val="16"/>
        </w:rPr>
      </w:pPr>
      <w:r w:rsidRPr="00196AAA">
        <w:rPr>
          <w:rFonts w:cs="Arial"/>
          <w:bCs/>
          <w:sz w:val="16"/>
          <w:szCs w:val="16"/>
        </w:rPr>
        <w:t>The following details for non-ministerial KMP include those positions that had authority and responsibility for planning, directing, and controlling the activities of the Commission during 20</w:t>
      </w:r>
      <w:r>
        <w:rPr>
          <w:rFonts w:cs="Arial"/>
          <w:bCs/>
          <w:sz w:val="16"/>
          <w:szCs w:val="16"/>
        </w:rPr>
        <w:t>22</w:t>
      </w:r>
      <w:r w:rsidR="000D2264">
        <w:rPr>
          <w:rFonts w:cs="Arial"/>
          <w:bCs/>
          <w:sz w:val="16"/>
          <w:szCs w:val="16"/>
        </w:rPr>
        <w:t>–</w:t>
      </w:r>
      <w:r w:rsidRPr="00196AAA">
        <w:rPr>
          <w:rFonts w:cs="Arial"/>
          <w:bCs/>
          <w:sz w:val="16"/>
          <w:szCs w:val="16"/>
        </w:rPr>
        <w:t>2</w:t>
      </w:r>
      <w:r>
        <w:rPr>
          <w:rFonts w:cs="Arial"/>
          <w:bCs/>
          <w:sz w:val="16"/>
          <w:szCs w:val="16"/>
        </w:rPr>
        <w:t>3</w:t>
      </w:r>
      <w:r w:rsidRPr="00196AAA">
        <w:rPr>
          <w:rFonts w:cs="Arial"/>
          <w:bCs/>
          <w:sz w:val="16"/>
          <w:szCs w:val="16"/>
        </w:rPr>
        <w:t xml:space="preserve"> and 20</w:t>
      </w:r>
      <w:r>
        <w:rPr>
          <w:rFonts w:cs="Arial"/>
          <w:bCs/>
          <w:sz w:val="16"/>
          <w:szCs w:val="16"/>
        </w:rPr>
        <w:t>21</w:t>
      </w:r>
      <w:r w:rsidR="000D2264">
        <w:rPr>
          <w:rFonts w:cs="Arial"/>
          <w:bCs/>
          <w:sz w:val="16"/>
          <w:szCs w:val="16"/>
        </w:rPr>
        <w:t>–</w:t>
      </w:r>
      <w:r w:rsidRPr="00196AAA">
        <w:rPr>
          <w:rFonts w:cs="Arial"/>
          <w:bCs/>
          <w:sz w:val="16"/>
          <w:szCs w:val="16"/>
        </w:rPr>
        <w:t>2</w:t>
      </w:r>
      <w:r>
        <w:rPr>
          <w:rFonts w:cs="Arial"/>
          <w:bCs/>
          <w:sz w:val="16"/>
          <w:szCs w:val="16"/>
        </w:rPr>
        <w:t>2</w:t>
      </w:r>
      <w:r w:rsidRPr="00196AAA">
        <w:rPr>
          <w:rFonts w:cs="Arial"/>
          <w:bCs/>
          <w:sz w:val="16"/>
          <w:szCs w:val="16"/>
        </w:rPr>
        <w:t xml:space="preserve">. Further information on these positions can be found in the body of the Annual Report under the section relating to Executive Management. </w:t>
      </w:r>
    </w:p>
    <w:p w14:paraId="2A9B792E" w14:textId="55B54A9D" w:rsidR="00C876D8" w:rsidRDefault="003B4964" w:rsidP="004234D3">
      <w:pPr>
        <w:spacing w:before="120" w:line="259" w:lineRule="auto"/>
        <w:jc w:val="both"/>
        <w:rPr>
          <w:rFonts w:ascii="ArialMT" w:eastAsia="SimSun" w:hAnsi="ArialMT" w:cs="ArialMT"/>
          <w:sz w:val="24"/>
          <w:szCs w:val="24"/>
          <w:lang w:eastAsia="en-AU"/>
        </w:rPr>
      </w:pPr>
      <w:r>
        <w:rPr>
          <w:rFonts w:cs="Arial"/>
          <w:b/>
          <w:sz w:val="18"/>
          <w:szCs w:val="18"/>
        </w:rPr>
        <w:pict w14:anchorId="219E2028">
          <v:shape id="_x0000_i1043" type="#_x0000_t75" alt="Table showing details of key management personnel." style="width:480pt;height:487.15pt;mso-position-horizontal:center">
            <v:imagedata r:id="rId60" o:title=""/>
          </v:shape>
        </w:pict>
      </w:r>
      <w:r w:rsidR="00EA5BB8">
        <w:rPr>
          <w:rFonts w:cs="Arial"/>
          <w:b/>
          <w:sz w:val="18"/>
          <w:szCs w:val="18"/>
        </w:rPr>
        <w:br/>
      </w:r>
      <w:r w:rsidR="00EA5BB8">
        <w:rPr>
          <w:rFonts w:cs="Arial"/>
          <w:b/>
          <w:sz w:val="18"/>
          <w:szCs w:val="18"/>
        </w:rPr>
        <w:br/>
      </w:r>
    </w:p>
    <w:p w14:paraId="5E850C76" w14:textId="77777777" w:rsidR="00C876D8" w:rsidRDefault="00C876D8">
      <w:pPr>
        <w:rPr>
          <w:rFonts w:ascii="ArialMT" w:eastAsia="SimSun" w:hAnsi="ArialMT" w:cs="ArialMT"/>
          <w:sz w:val="24"/>
          <w:szCs w:val="24"/>
          <w:lang w:eastAsia="en-AU"/>
        </w:rPr>
      </w:pPr>
      <w:r>
        <w:rPr>
          <w:rFonts w:ascii="ArialMT" w:eastAsia="SimSun" w:hAnsi="ArialMT" w:cs="ArialMT"/>
          <w:sz w:val="24"/>
          <w:szCs w:val="24"/>
          <w:lang w:eastAsia="en-AU"/>
        </w:rPr>
        <w:br w:type="page"/>
      </w:r>
    </w:p>
    <w:p w14:paraId="313BE455" w14:textId="0831C07C" w:rsidR="00C876D8" w:rsidRPr="00196AAA" w:rsidRDefault="00C876D8" w:rsidP="00C876D8">
      <w:pPr>
        <w:spacing w:line="259" w:lineRule="auto"/>
        <w:rPr>
          <w:rFonts w:cs="Arial"/>
          <w:b/>
          <w:sz w:val="18"/>
          <w:szCs w:val="18"/>
        </w:rPr>
      </w:pPr>
      <w:r>
        <w:rPr>
          <w:rFonts w:cs="Arial"/>
          <w:b/>
          <w:sz w:val="18"/>
          <w:szCs w:val="18"/>
        </w:rPr>
        <w:lastRenderedPageBreak/>
        <w:t>E1</w:t>
      </w:r>
      <w:r w:rsidRPr="00196AAA">
        <w:rPr>
          <w:rFonts w:cs="Arial"/>
          <w:b/>
          <w:sz w:val="18"/>
          <w:szCs w:val="18"/>
        </w:rPr>
        <w:t>-2</w:t>
      </w:r>
      <w:r w:rsidR="00B81E8D">
        <w:rPr>
          <w:rFonts w:cs="Arial"/>
          <w:b/>
          <w:sz w:val="18"/>
          <w:szCs w:val="18"/>
        </w:rPr>
        <w:t xml:space="preserve"> </w:t>
      </w:r>
      <w:r w:rsidRPr="00196AAA">
        <w:rPr>
          <w:rFonts w:cs="Arial"/>
          <w:b/>
          <w:sz w:val="18"/>
          <w:szCs w:val="18"/>
        </w:rPr>
        <w:t>Remuneration Policies</w:t>
      </w:r>
    </w:p>
    <w:p w14:paraId="61B36612" w14:textId="77777777" w:rsidR="00C876D8" w:rsidRPr="00196AAA" w:rsidRDefault="00C876D8" w:rsidP="00C876D8">
      <w:pPr>
        <w:spacing w:before="120" w:line="259" w:lineRule="auto"/>
        <w:rPr>
          <w:rFonts w:cs="Arial"/>
          <w:bCs/>
          <w:sz w:val="16"/>
          <w:szCs w:val="16"/>
        </w:rPr>
      </w:pPr>
      <w:r w:rsidRPr="00196AAA">
        <w:rPr>
          <w:rFonts w:cs="Arial"/>
          <w:bCs/>
          <w:sz w:val="16"/>
          <w:szCs w:val="16"/>
        </w:rPr>
        <w:t xml:space="preserve">Ministerial remuneration entitlements are outlined in the Legislative Assembly of Queensland Members’ Remuneration Handbook. The Commission does not bear any cost of remuneration of the Ministers. </w:t>
      </w:r>
      <w:proofErr w:type="gramStart"/>
      <w:r w:rsidRPr="00196AAA">
        <w:rPr>
          <w:rFonts w:cs="Arial"/>
          <w:bCs/>
          <w:sz w:val="16"/>
          <w:szCs w:val="16"/>
        </w:rPr>
        <w:t>The majority of</w:t>
      </w:r>
      <w:proofErr w:type="gramEnd"/>
      <w:r w:rsidRPr="00196AAA">
        <w:rPr>
          <w:rFonts w:cs="Arial"/>
          <w:bCs/>
          <w:sz w:val="16"/>
          <w:szCs w:val="16"/>
        </w:rPr>
        <w:t xml:space="preserve"> Ministerial entitlements are paid by the Legislative Assembly, with the remaining entitlements being provided by Ministerial Services within the Department of the Premier and Cabinet. As all Ministers are reported as KMP of the Queensland Government, aggregate remuneration expenses for all Ministers are disclosed in the Queensland General Government and Whole of Government Consolidated Financial Statements, which are published as part of Queensland Treasury’s Report on State Finances.</w:t>
      </w:r>
    </w:p>
    <w:p w14:paraId="3A5FAE89" w14:textId="77777777" w:rsidR="00C876D8" w:rsidRPr="00196AAA" w:rsidRDefault="00C876D8" w:rsidP="00C876D8">
      <w:pPr>
        <w:spacing w:before="120" w:line="259" w:lineRule="auto"/>
        <w:rPr>
          <w:rFonts w:cs="Arial"/>
          <w:bCs/>
          <w:sz w:val="16"/>
          <w:szCs w:val="16"/>
        </w:rPr>
      </w:pPr>
      <w:r w:rsidRPr="00196AAA">
        <w:rPr>
          <w:rFonts w:cs="Arial"/>
          <w:bCs/>
          <w:sz w:val="16"/>
          <w:szCs w:val="16"/>
        </w:rPr>
        <w:t xml:space="preserve">Remuneration policy for the Commission's KMP is provided for under the </w:t>
      </w:r>
      <w:r w:rsidRPr="00196AAA">
        <w:rPr>
          <w:rFonts w:cs="Arial"/>
          <w:bCs/>
          <w:i/>
          <w:sz w:val="16"/>
          <w:szCs w:val="16"/>
        </w:rPr>
        <w:t xml:space="preserve">Public </w:t>
      </w:r>
      <w:r>
        <w:rPr>
          <w:rFonts w:cs="Arial"/>
          <w:bCs/>
          <w:i/>
          <w:sz w:val="16"/>
          <w:szCs w:val="16"/>
        </w:rPr>
        <w:t>Sector Act 2022</w:t>
      </w:r>
      <w:r w:rsidRPr="00196AAA">
        <w:rPr>
          <w:rFonts w:cs="Arial"/>
          <w:bCs/>
          <w:sz w:val="16"/>
          <w:szCs w:val="16"/>
        </w:rPr>
        <w:t>. Individual remuneration and other terms of employment (including motor vehicle entitlements and performance payments if applicable) are specified in employment contracts.</w:t>
      </w:r>
    </w:p>
    <w:p w14:paraId="03B78A20" w14:textId="77777777" w:rsidR="00C876D8" w:rsidRPr="00196AAA" w:rsidRDefault="00C876D8" w:rsidP="00C876D8">
      <w:pPr>
        <w:spacing w:before="120" w:line="259" w:lineRule="auto"/>
        <w:rPr>
          <w:rFonts w:cs="Arial"/>
          <w:bCs/>
          <w:sz w:val="16"/>
          <w:szCs w:val="16"/>
        </w:rPr>
      </w:pPr>
      <w:r w:rsidRPr="00196AAA">
        <w:rPr>
          <w:rFonts w:cs="Arial"/>
          <w:bCs/>
          <w:sz w:val="16"/>
          <w:szCs w:val="16"/>
        </w:rPr>
        <w:t>Remuneration expenses for KMP comprise the following components:</w:t>
      </w:r>
    </w:p>
    <w:p w14:paraId="333AA4A0" w14:textId="77777777" w:rsidR="00C876D8" w:rsidRPr="00196AAA" w:rsidRDefault="00C876D8" w:rsidP="00F61D85">
      <w:pPr>
        <w:pStyle w:val="ListParagraph"/>
        <w:numPr>
          <w:ilvl w:val="0"/>
          <w:numId w:val="18"/>
        </w:numPr>
        <w:tabs>
          <w:tab w:val="left" w:pos="284"/>
        </w:tabs>
        <w:spacing w:after="0" w:line="360" w:lineRule="auto"/>
        <w:ind w:left="425" w:hanging="425"/>
        <w:rPr>
          <w:rFonts w:cs="Arial"/>
          <w:bCs/>
          <w:sz w:val="16"/>
          <w:szCs w:val="16"/>
        </w:rPr>
      </w:pPr>
      <w:r w:rsidRPr="00196AAA">
        <w:rPr>
          <w:rFonts w:cs="Arial"/>
          <w:bCs/>
          <w:sz w:val="16"/>
          <w:szCs w:val="16"/>
        </w:rPr>
        <w:t>Short term employee expenses, including:</w:t>
      </w:r>
    </w:p>
    <w:p w14:paraId="6BCA4E09" w14:textId="77777777" w:rsidR="00C876D8" w:rsidRPr="00196AAA" w:rsidRDefault="00C876D8" w:rsidP="00F61D85">
      <w:pPr>
        <w:pStyle w:val="ListParagraph"/>
        <w:numPr>
          <w:ilvl w:val="1"/>
          <w:numId w:val="18"/>
        </w:numPr>
        <w:tabs>
          <w:tab w:val="left" w:pos="0"/>
          <w:tab w:val="left" w:pos="284"/>
          <w:tab w:val="left" w:pos="567"/>
        </w:tabs>
        <w:spacing w:after="0" w:line="360" w:lineRule="auto"/>
        <w:ind w:left="538" w:hanging="113"/>
        <w:rPr>
          <w:rFonts w:cs="Arial"/>
          <w:bCs/>
          <w:sz w:val="16"/>
          <w:szCs w:val="16"/>
        </w:rPr>
      </w:pPr>
      <w:r w:rsidRPr="00196AAA">
        <w:rPr>
          <w:rFonts w:cs="Arial"/>
          <w:bCs/>
          <w:sz w:val="16"/>
          <w:szCs w:val="16"/>
        </w:rPr>
        <w:t>salaries, allowances and leave entitlements earned and expensed for the entire year, or for that part of the year during which</w:t>
      </w:r>
      <w:r>
        <w:rPr>
          <w:rFonts w:cs="Arial"/>
          <w:bCs/>
          <w:sz w:val="16"/>
          <w:szCs w:val="16"/>
        </w:rPr>
        <w:t xml:space="preserve"> </w:t>
      </w:r>
      <w:r w:rsidRPr="00196AAA">
        <w:rPr>
          <w:rFonts w:cs="Arial"/>
          <w:bCs/>
          <w:sz w:val="16"/>
          <w:szCs w:val="16"/>
        </w:rPr>
        <w:t>the employee occupied a KMP position; and</w:t>
      </w:r>
    </w:p>
    <w:p w14:paraId="4B20AD26" w14:textId="77777777" w:rsidR="00C876D8" w:rsidRPr="00196AAA" w:rsidRDefault="00C876D8" w:rsidP="00F61D85">
      <w:pPr>
        <w:pStyle w:val="ListParagraph"/>
        <w:numPr>
          <w:ilvl w:val="1"/>
          <w:numId w:val="18"/>
        </w:numPr>
        <w:tabs>
          <w:tab w:val="left" w:pos="0"/>
          <w:tab w:val="left" w:pos="284"/>
          <w:tab w:val="left" w:pos="567"/>
        </w:tabs>
        <w:spacing w:after="0" w:line="360" w:lineRule="auto"/>
        <w:ind w:left="0" w:firstLine="426"/>
        <w:rPr>
          <w:rFonts w:cs="Arial"/>
          <w:bCs/>
          <w:sz w:val="16"/>
          <w:szCs w:val="16"/>
        </w:rPr>
      </w:pPr>
      <w:r w:rsidRPr="00196AAA">
        <w:rPr>
          <w:rFonts w:cs="Arial"/>
          <w:bCs/>
          <w:sz w:val="16"/>
          <w:szCs w:val="16"/>
        </w:rPr>
        <w:t xml:space="preserve">non-monetary benefits - consisting of provision of </w:t>
      </w:r>
      <w:r w:rsidRPr="009317EB">
        <w:rPr>
          <w:rFonts w:cs="Arial"/>
          <w:bCs/>
          <w:sz w:val="16"/>
          <w:szCs w:val="16"/>
        </w:rPr>
        <w:t>vehicles together with fringe benefits tax applicable to the benefit.</w:t>
      </w:r>
    </w:p>
    <w:p w14:paraId="3F9F6AA3" w14:textId="77777777" w:rsidR="00C876D8" w:rsidRPr="00196AAA" w:rsidRDefault="00C876D8" w:rsidP="00F61D85">
      <w:pPr>
        <w:pStyle w:val="ListParagraph"/>
        <w:numPr>
          <w:ilvl w:val="0"/>
          <w:numId w:val="18"/>
        </w:numPr>
        <w:tabs>
          <w:tab w:val="left" w:pos="0"/>
          <w:tab w:val="left" w:pos="284"/>
        </w:tabs>
        <w:spacing w:after="0" w:line="360" w:lineRule="auto"/>
        <w:ind w:left="425" w:hanging="425"/>
        <w:rPr>
          <w:rFonts w:cs="Arial"/>
          <w:bCs/>
          <w:sz w:val="16"/>
          <w:szCs w:val="16"/>
        </w:rPr>
      </w:pPr>
      <w:r w:rsidRPr="00196AAA">
        <w:rPr>
          <w:rFonts w:cs="Arial"/>
          <w:bCs/>
          <w:sz w:val="16"/>
          <w:szCs w:val="16"/>
        </w:rPr>
        <w:t>Long term employee expenses include amounts expensed in respect of long service leave entitlements earned.</w:t>
      </w:r>
    </w:p>
    <w:p w14:paraId="61CAD544" w14:textId="77777777" w:rsidR="00C876D8" w:rsidRDefault="00C876D8" w:rsidP="00F61D85">
      <w:pPr>
        <w:pStyle w:val="ListParagraph"/>
        <w:numPr>
          <w:ilvl w:val="0"/>
          <w:numId w:val="18"/>
        </w:numPr>
        <w:tabs>
          <w:tab w:val="left" w:pos="0"/>
          <w:tab w:val="left" w:pos="284"/>
        </w:tabs>
        <w:spacing w:after="0" w:line="360" w:lineRule="auto"/>
        <w:ind w:left="425" w:hanging="425"/>
        <w:rPr>
          <w:rFonts w:cs="Arial"/>
          <w:bCs/>
          <w:sz w:val="16"/>
          <w:szCs w:val="16"/>
        </w:rPr>
      </w:pPr>
      <w:r w:rsidRPr="00196AAA">
        <w:rPr>
          <w:rFonts w:cs="Arial"/>
          <w:bCs/>
          <w:sz w:val="16"/>
          <w:szCs w:val="16"/>
        </w:rPr>
        <w:t>Post-employment expenses include amounts expensed in respect of employer superannuation obligations.</w:t>
      </w:r>
    </w:p>
    <w:p w14:paraId="3D647AAE" w14:textId="77777777" w:rsidR="00C876D8" w:rsidRPr="00196AAA" w:rsidRDefault="00C876D8" w:rsidP="00F61D85">
      <w:pPr>
        <w:pStyle w:val="ListParagraph"/>
        <w:numPr>
          <w:ilvl w:val="0"/>
          <w:numId w:val="18"/>
        </w:numPr>
        <w:tabs>
          <w:tab w:val="left" w:pos="0"/>
          <w:tab w:val="left" w:pos="284"/>
        </w:tabs>
        <w:spacing w:after="0" w:line="360" w:lineRule="auto"/>
        <w:ind w:left="284" w:hanging="284"/>
        <w:rPr>
          <w:rFonts w:cs="Arial"/>
          <w:bCs/>
          <w:sz w:val="16"/>
          <w:szCs w:val="16"/>
        </w:rPr>
      </w:pPr>
      <w:r>
        <w:rPr>
          <w:rFonts w:cs="Arial"/>
          <w:bCs/>
          <w:sz w:val="16"/>
          <w:szCs w:val="16"/>
        </w:rPr>
        <w:t>T</w:t>
      </w:r>
      <w:r w:rsidRPr="009317EB">
        <w:rPr>
          <w:rFonts w:cs="Arial"/>
          <w:bCs/>
          <w:sz w:val="16"/>
          <w:szCs w:val="16"/>
        </w:rPr>
        <w:t>ermination benefits include payments in lieu of notice on termination and other lump sum separation entitlements (excluding</w:t>
      </w:r>
      <w:r>
        <w:rPr>
          <w:rFonts w:cs="Arial"/>
          <w:bCs/>
          <w:sz w:val="16"/>
          <w:szCs w:val="16"/>
        </w:rPr>
        <w:t xml:space="preserve"> </w:t>
      </w:r>
      <w:r w:rsidRPr="009317EB">
        <w:rPr>
          <w:rFonts w:cs="Arial"/>
          <w:bCs/>
          <w:sz w:val="16"/>
          <w:szCs w:val="16"/>
        </w:rPr>
        <w:t>annual and long service leave entitlements) payable on termination of employment or acceptance of an offer of termination of employment.</w:t>
      </w:r>
    </w:p>
    <w:p w14:paraId="52C32B0B" w14:textId="7D10D81A" w:rsidR="00C876D8" w:rsidRPr="00196AAA" w:rsidRDefault="00C876D8" w:rsidP="00C876D8">
      <w:pPr>
        <w:spacing w:before="120" w:line="259" w:lineRule="auto"/>
        <w:rPr>
          <w:rFonts w:cs="Arial"/>
          <w:bCs/>
          <w:sz w:val="16"/>
          <w:szCs w:val="16"/>
        </w:rPr>
      </w:pPr>
      <w:r w:rsidRPr="00196AAA">
        <w:rPr>
          <w:rFonts w:cs="Arial"/>
          <w:bCs/>
          <w:sz w:val="16"/>
          <w:szCs w:val="16"/>
        </w:rPr>
        <w:t>There were nil termination payments in 20</w:t>
      </w:r>
      <w:r>
        <w:rPr>
          <w:rFonts w:cs="Arial"/>
          <w:bCs/>
          <w:sz w:val="16"/>
          <w:szCs w:val="16"/>
        </w:rPr>
        <w:t>22</w:t>
      </w:r>
      <w:r w:rsidR="000D2264">
        <w:rPr>
          <w:rFonts w:cs="Arial"/>
          <w:bCs/>
          <w:sz w:val="16"/>
          <w:szCs w:val="16"/>
        </w:rPr>
        <w:t>–</w:t>
      </w:r>
      <w:r w:rsidRPr="00196AAA">
        <w:rPr>
          <w:rFonts w:cs="Arial"/>
          <w:bCs/>
          <w:sz w:val="16"/>
          <w:szCs w:val="16"/>
        </w:rPr>
        <w:t>2</w:t>
      </w:r>
      <w:r>
        <w:rPr>
          <w:rFonts w:cs="Arial"/>
          <w:bCs/>
          <w:sz w:val="16"/>
          <w:szCs w:val="16"/>
        </w:rPr>
        <w:t xml:space="preserve">3 </w:t>
      </w:r>
      <w:r w:rsidRPr="00196AAA">
        <w:rPr>
          <w:rFonts w:cs="Arial"/>
          <w:bCs/>
          <w:sz w:val="16"/>
          <w:szCs w:val="16"/>
        </w:rPr>
        <w:t>(20</w:t>
      </w:r>
      <w:r>
        <w:rPr>
          <w:rFonts w:cs="Arial"/>
          <w:bCs/>
          <w:sz w:val="16"/>
          <w:szCs w:val="16"/>
        </w:rPr>
        <w:t>21</w:t>
      </w:r>
      <w:r w:rsidR="000D2264">
        <w:rPr>
          <w:rFonts w:cs="Arial"/>
          <w:bCs/>
          <w:sz w:val="16"/>
          <w:szCs w:val="16"/>
        </w:rPr>
        <w:t>–</w:t>
      </w:r>
      <w:r w:rsidRPr="00196AAA">
        <w:rPr>
          <w:rFonts w:cs="Arial"/>
          <w:bCs/>
          <w:sz w:val="16"/>
          <w:szCs w:val="16"/>
        </w:rPr>
        <w:t>2</w:t>
      </w:r>
      <w:r>
        <w:rPr>
          <w:rFonts w:cs="Arial"/>
          <w:bCs/>
          <w:sz w:val="16"/>
          <w:szCs w:val="16"/>
        </w:rPr>
        <w:t>2</w:t>
      </w:r>
      <w:r w:rsidRPr="00196AAA">
        <w:rPr>
          <w:rFonts w:cs="Arial"/>
          <w:bCs/>
          <w:sz w:val="16"/>
          <w:szCs w:val="16"/>
        </w:rPr>
        <w:t>: nil).</w:t>
      </w:r>
    </w:p>
    <w:p w14:paraId="245729ED" w14:textId="77777777" w:rsidR="00C876D8" w:rsidRDefault="00C876D8" w:rsidP="00C876D8">
      <w:pPr>
        <w:spacing w:before="120" w:line="259" w:lineRule="auto"/>
        <w:rPr>
          <w:rFonts w:cs="Arial"/>
          <w:bCs/>
          <w:sz w:val="16"/>
          <w:szCs w:val="16"/>
        </w:rPr>
      </w:pPr>
      <w:r w:rsidRPr="00196AAA">
        <w:rPr>
          <w:rFonts w:cs="Arial"/>
          <w:bCs/>
          <w:sz w:val="16"/>
          <w:szCs w:val="16"/>
        </w:rPr>
        <w:t>The remuneration package for the Commissioner or other KMP does not provide for any performance or bonus payments.</w:t>
      </w:r>
    </w:p>
    <w:p w14:paraId="4FC7931D" w14:textId="7148B2EB" w:rsidR="003374B0" w:rsidRPr="00196AAA" w:rsidRDefault="003374B0" w:rsidP="003374B0">
      <w:pPr>
        <w:spacing w:before="120" w:line="259" w:lineRule="auto"/>
        <w:rPr>
          <w:rFonts w:cs="Arial"/>
          <w:b/>
          <w:sz w:val="18"/>
          <w:szCs w:val="18"/>
        </w:rPr>
      </w:pPr>
      <w:r>
        <w:rPr>
          <w:rFonts w:cs="Arial"/>
          <w:b/>
          <w:sz w:val="18"/>
          <w:szCs w:val="18"/>
        </w:rPr>
        <w:br/>
        <w:t>E1</w:t>
      </w:r>
      <w:r w:rsidRPr="00196AAA">
        <w:rPr>
          <w:rFonts w:cs="Arial"/>
          <w:b/>
          <w:sz w:val="18"/>
          <w:szCs w:val="18"/>
        </w:rPr>
        <w:t>-3 Non-Ministerial KMP Remuneration Expense</w:t>
      </w:r>
    </w:p>
    <w:p w14:paraId="366390AF" w14:textId="77777777" w:rsidR="003374B0" w:rsidRDefault="003374B0" w:rsidP="003374B0">
      <w:pPr>
        <w:spacing w:before="120" w:line="259" w:lineRule="auto"/>
        <w:rPr>
          <w:rFonts w:cs="Arial"/>
          <w:bCs/>
          <w:sz w:val="16"/>
          <w:szCs w:val="16"/>
        </w:rPr>
      </w:pPr>
      <w:r w:rsidRPr="00196AAA">
        <w:rPr>
          <w:rFonts w:cs="Arial"/>
          <w:bCs/>
          <w:sz w:val="16"/>
          <w:szCs w:val="16"/>
        </w:rPr>
        <w:t xml:space="preserve">The following disclosures focus on the expenses incurred by the Commission that are attributable to non-ministerial key management positions during the respective reporting periods. Therefore, the amounts disclosed reflect expenses recognised in the Statement of Comprehensive Income. </w:t>
      </w:r>
    </w:p>
    <w:p w14:paraId="01CB4F8E" w14:textId="61B9F30B" w:rsidR="00D378E2" w:rsidRDefault="003B4964" w:rsidP="004234D3">
      <w:pPr>
        <w:spacing w:before="120" w:line="259" w:lineRule="auto"/>
        <w:jc w:val="both"/>
        <w:rPr>
          <w:rFonts w:cs="Arial"/>
          <w:bCs/>
          <w:sz w:val="16"/>
          <w:szCs w:val="16"/>
        </w:rPr>
      </w:pPr>
      <w:r>
        <w:rPr>
          <w:rFonts w:cs="Arial"/>
          <w:bCs/>
          <w:sz w:val="16"/>
          <w:szCs w:val="16"/>
        </w:rPr>
        <w:pict w14:anchorId="6BC9F2E5">
          <v:shape id="_x0000_i1044" type="#_x0000_t75" alt="Table showing non-ministerial KMP remuneration expense." style="width:485.25pt;height:316.5pt;mso-position-horizontal:center">
            <v:imagedata r:id="rId61" o:title=""/>
          </v:shape>
        </w:pict>
      </w:r>
    </w:p>
    <w:p w14:paraId="16C38004" w14:textId="77777777" w:rsidR="00DD0BE4" w:rsidRDefault="00DD0BE4" w:rsidP="00A43F63">
      <w:pPr>
        <w:spacing w:before="120" w:line="259" w:lineRule="auto"/>
        <w:rPr>
          <w:rFonts w:cs="Arial"/>
          <w:b/>
          <w:sz w:val="18"/>
          <w:szCs w:val="18"/>
        </w:rPr>
      </w:pPr>
    </w:p>
    <w:p w14:paraId="37AACB89" w14:textId="6512CE80" w:rsidR="00A43F63" w:rsidRPr="00196AAA" w:rsidRDefault="00A43F63" w:rsidP="00A43F63">
      <w:pPr>
        <w:spacing w:before="120" w:line="259" w:lineRule="auto"/>
        <w:rPr>
          <w:rFonts w:cs="Arial"/>
          <w:b/>
          <w:sz w:val="18"/>
          <w:szCs w:val="18"/>
        </w:rPr>
      </w:pPr>
      <w:r>
        <w:rPr>
          <w:rFonts w:cs="Arial"/>
          <w:b/>
          <w:sz w:val="18"/>
          <w:szCs w:val="18"/>
        </w:rPr>
        <w:t>E1</w:t>
      </w:r>
      <w:r w:rsidRPr="00196AAA">
        <w:rPr>
          <w:rFonts w:cs="Arial"/>
          <w:b/>
          <w:sz w:val="18"/>
          <w:szCs w:val="18"/>
        </w:rPr>
        <w:t>-3</w:t>
      </w:r>
      <w:r w:rsidR="008A13B2">
        <w:rPr>
          <w:rFonts w:cs="Arial"/>
          <w:b/>
          <w:sz w:val="18"/>
          <w:szCs w:val="18"/>
        </w:rPr>
        <w:t xml:space="preserve"> </w:t>
      </w:r>
      <w:r w:rsidRPr="00196AAA">
        <w:rPr>
          <w:rFonts w:cs="Arial"/>
          <w:b/>
          <w:sz w:val="18"/>
          <w:szCs w:val="18"/>
        </w:rPr>
        <w:t>Non-Ministerial KMP Remuneration Expense</w:t>
      </w:r>
      <w:r>
        <w:rPr>
          <w:rFonts w:cs="Arial"/>
          <w:b/>
          <w:sz w:val="18"/>
          <w:szCs w:val="18"/>
        </w:rPr>
        <w:t xml:space="preserve"> (cont’d)</w:t>
      </w:r>
    </w:p>
    <w:p w14:paraId="66C6BB39" w14:textId="67300209" w:rsidR="00A43F63" w:rsidRDefault="003B4964" w:rsidP="00A43F63">
      <w:pPr>
        <w:spacing w:before="120" w:line="259" w:lineRule="auto"/>
        <w:jc w:val="both"/>
        <w:rPr>
          <w:rFonts w:cs="Arial"/>
          <w:bCs/>
          <w:sz w:val="16"/>
          <w:szCs w:val="16"/>
        </w:rPr>
      </w:pPr>
      <w:r>
        <w:rPr>
          <w:rFonts w:cs="Arial"/>
          <w:bCs/>
          <w:sz w:val="16"/>
          <w:szCs w:val="16"/>
        </w:rPr>
        <w:lastRenderedPageBreak/>
        <w:pict w14:anchorId="31C548D4">
          <v:shape id="_x0000_i1045" type="#_x0000_t75" alt="Table showing non-ministerial KMP remuneration expense." style="width:475.15pt;height:222pt;mso-position-horizontal:center">
            <v:imagedata r:id="rId62" o:title=""/>
          </v:shape>
        </w:pict>
      </w:r>
    </w:p>
    <w:p w14:paraId="5EA979FF" w14:textId="0EEE93D7" w:rsidR="00F61D85" w:rsidRPr="00196AAA" w:rsidRDefault="00F61D85" w:rsidP="00F61D85">
      <w:pPr>
        <w:spacing w:before="120" w:line="259" w:lineRule="auto"/>
        <w:rPr>
          <w:rFonts w:cs="Arial"/>
          <w:b/>
          <w:sz w:val="18"/>
          <w:szCs w:val="18"/>
        </w:rPr>
      </w:pPr>
      <w:r>
        <w:rPr>
          <w:rFonts w:cs="Arial"/>
          <w:b/>
          <w:sz w:val="18"/>
          <w:szCs w:val="18"/>
        </w:rPr>
        <w:t xml:space="preserve">E2 </w:t>
      </w:r>
      <w:r w:rsidRPr="00196AAA">
        <w:rPr>
          <w:rFonts w:cs="Arial"/>
          <w:b/>
          <w:sz w:val="18"/>
          <w:szCs w:val="18"/>
        </w:rPr>
        <w:t xml:space="preserve">Related Party Transactions </w:t>
      </w:r>
    </w:p>
    <w:p w14:paraId="26BA1331" w14:textId="4918674D" w:rsidR="00F61D85" w:rsidRPr="00196AAA" w:rsidRDefault="00F61D85" w:rsidP="00F61D85">
      <w:pPr>
        <w:spacing w:before="120" w:line="259" w:lineRule="auto"/>
        <w:rPr>
          <w:rFonts w:cs="Arial"/>
          <w:bCs/>
          <w:sz w:val="16"/>
          <w:szCs w:val="16"/>
        </w:rPr>
      </w:pPr>
      <w:r w:rsidRPr="00196AAA">
        <w:rPr>
          <w:rFonts w:cs="Arial"/>
          <w:bCs/>
          <w:sz w:val="16"/>
          <w:szCs w:val="16"/>
        </w:rPr>
        <w:t>There were no transactions with related parties of the Commission’s KMP during 20</w:t>
      </w:r>
      <w:r>
        <w:rPr>
          <w:rFonts w:cs="Arial"/>
          <w:bCs/>
          <w:sz w:val="16"/>
          <w:szCs w:val="16"/>
        </w:rPr>
        <w:t>22</w:t>
      </w:r>
      <w:r w:rsidR="000D2264">
        <w:rPr>
          <w:rFonts w:cs="Arial"/>
          <w:bCs/>
          <w:sz w:val="16"/>
          <w:szCs w:val="16"/>
        </w:rPr>
        <w:t>–</w:t>
      </w:r>
      <w:r w:rsidRPr="00196AAA">
        <w:rPr>
          <w:rFonts w:cs="Arial"/>
          <w:bCs/>
          <w:sz w:val="16"/>
          <w:szCs w:val="16"/>
        </w:rPr>
        <w:t>2</w:t>
      </w:r>
      <w:r>
        <w:rPr>
          <w:rFonts w:cs="Arial"/>
          <w:bCs/>
          <w:sz w:val="16"/>
          <w:szCs w:val="16"/>
        </w:rPr>
        <w:t>3</w:t>
      </w:r>
      <w:r w:rsidRPr="00196AAA">
        <w:rPr>
          <w:rFonts w:cs="Arial"/>
          <w:bCs/>
          <w:sz w:val="16"/>
          <w:szCs w:val="16"/>
        </w:rPr>
        <w:t xml:space="preserve"> and 20</w:t>
      </w:r>
      <w:r>
        <w:rPr>
          <w:rFonts w:cs="Arial"/>
          <w:bCs/>
          <w:sz w:val="16"/>
          <w:szCs w:val="16"/>
        </w:rPr>
        <w:t>21</w:t>
      </w:r>
      <w:r w:rsidR="000D2264">
        <w:rPr>
          <w:rFonts w:cs="Arial"/>
          <w:bCs/>
          <w:sz w:val="16"/>
          <w:szCs w:val="16"/>
        </w:rPr>
        <w:t>–</w:t>
      </w:r>
      <w:r w:rsidRPr="00196AAA">
        <w:rPr>
          <w:rFonts w:cs="Arial"/>
          <w:bCs/>
          <w:sz w:val="16"/>
          <w:szCs w:val="16"/>
        </w:rPr>
        <w:t>2</w:t>
      </w:r>
      <w:r>
        <w:rPr>
          <w:rFonts w:cs="Arial"/>
          <w:bCs/>
          <w:sz w:val="16"/>
          <w:szCs w:val="16"/>
        </w:rPr>
        <w:t>2</w:t>
      </w:r>
      <w:r w:rsidRPr="00196AAA">
        <w:rPr>
          <w:rFonts w:cs="Arial"/>
          <w:bCs/>
          <w:sz w:val="16"/>
          <w:szCs w:val="16"/>
        </w:rPr>
        <w:t>.</w:t>
      </w:r>
    </w:p>
    <w:p w14:paraId="4B7EF353" w14:textId="77777777" w:rsidR="00F61D85" w:rsidRDefault="00F61D85" w:rsidP="00F61D85">
      <w:pPr>
        <w:spacing w:before="120" w:line="259" w:lineRule="auto"/>
        <w:rPr>
          <w:rFonts w:cs="Arial"/>
          <w:bCs/>
          <w:sz w:val="16"/>
          <w:szCs w:val="16"/>
        </w:rPr>
      </w:pPr>
      <w:r w:rsidRPr="00196AAA">
        <w:rPr>
          <w:rFonts w:cs="Arial"/>
          <w:bCs/>
          <w:sz w:val="16"/>
          <w:szCs w:val="16"/>
        </w:rPr>
        <w:t>The Commission transacts with other Queensland Government controlled entities consistent with normal day-to-day business operations provided under normal terms and conditions. Where transactions with other Queensland Government controlled entities are considered individually significant or material, these have been disclosed as related party transactions below.</w:t>
      </w:r>
    </w:p>
    <w:p w14:paraId="60499DA7" w14:textId="77777777" w:rsidR="00F61D85" w:rsidRPr="00196AAA" w:rsidRDefault="00F61D85" w:rsidP="00F61D85">
      <w:pPr>
        <w:spacing w:before="120" w:line="259" w:lineRule="auto"/>
        <w:rPr>
          <w:rFonts w:cs="Arial"/>
          <w:bCs/>
          <w:sz w:val="16"/>
          <w:szCs w:val="16"/>
          <w:u w:val="single"/>
        </w:rPr>
      </w:pPr>
      <w:r w:rsidRPr="00196AAA">
        <w:rPr>
          <w:rFonts w:cs="Arial"/>
          <w:bCs/>
          <w:sz w:val="16"/>
          <w:szCs w:val="16"/>
          <w:u w:val="single"/>
        </w:rPr>
        <w:t xml:space="preserve">Note </w:t>
      </w:r>
      <w:r>
        <w:rPr>
          <w:rFonts w:cs="Arial"/>
          <w:bCs/>
          <w:sz w:val="16"/>
          <w:szCs w:val="16"/>
          <w:u w:val="single"/>
        </w:rPr>
        <w:t>B</w:t>
      </w:r>
      <w:r w:rsidRPr="00196AAA">
        <w:rPr>
          <w:rFonts w:cs="Arial"/>
          <w:bCs/>
          <w:sz w:val="16"/>
          <w:szCs w:val="16"/>
          <w:u w:val="single"/>
        </w:rPr>
        <w:t>1-1 Appropriation Revenue</w:t>
      </w:r>
    </w:p>
    <w:p w14:paraId="0331FC18" w14:textId="77777777" w:rsidR="00F61D85" w:rsidRPr="00196AAA" w:rsidRDefault="00F61D85" w:rsidP="00F61D85">
      <w:pPr>
        <w:spacing w:before="120" w:line="259" w:lineRule="auto"/>
        <w:rPr>
          <w:rFonts w:cs="Arial"/>
          <w:bCs/>
          <w:sz w:val="16"/>
          <w:szCs w:val="16"/>
        </w:rPr>
      </w:pPr>
      <w:r w:rsidRPr="00196AAA">
        <w:rPr>
          <w:rFonts w:cs="Arial"/>
          <w:bCs/>
          <w:sz w:val="16"/>
          <w:szCs w:val="16"/>
        </w:rPr>
        <w:t>The Commission’s primary ongoing source of funding from Government for its services are appropriation revenue which is provided in cash via Queensland Treasury.</w:t>
      </w:r>
    </w:p>
    <w:p w14:paraId="2FA0D1D4" w14:textId="77777777" w:rsidR="00F61D85" w:rsidRPr="00196AAA" w:rsidRDefault="00F61D85" w:rsidP="00F61D85">
      <w:pPr>
        <w:spacing w:before="120" w:line="259" w:lineRule="auto"/>
        <w:rPr>
          <w:rFonts w:cs="Arial"/>
          <w:bCs/>
          <w:sz w:val="16"/>
          <w:szCs w:val="16"/>
          <w:u w:val="single"/>
        </w:rPr>
      </w:pPr>
      <w:r w:rsidRPr="00196AAA">
        <w:rPr>
          <w:rFonts w:cs="Arial"/>
          <w:bCs/>
          <w:sz w:val="16"/>
          <w:szCs w:val="16"/>
          <w:u w:val="single"/>
        </w:rPr>
        <w:t>User Charges and Fees</w:t>
      </w:r>
    </w:p>
    <w:p w14:paraId="479E72D5" w14:textId="4FDD3B61" w:rsidR="00F61D85" w:rsidRDefault="00F61D85" w:rsidP="00F61D85">
      <w:pPr>
        <w:spacing w:before="120" w:line="259" w:lineRule="auto"/>
        <w:rPr>
          <w:rFonts w:cs="Arial"/>
          <w:bCs/>
          <w:sz w:val="16"/>
          <w:szCs w:val="16"/>
        </w:rPr>
      </w:pPr>
      <w:r>
        <w:rPr>
          <w:rFonts w:cs="Arial"/>
          <w:bCs/>
          <w:sz w:val="16"/>
          <w:szCs w:val="16"/>
        </w:rPr>
        <w:t xml:space="preserve">User charges and fees include related party transactions of $0.154M received by the Commission </w:t>
      </w:r>
      <w:r w:rsidRPr="00B15F77">
        <w:rPr>
          <w:rFonts w:cs="Arial"/>
          <w:bCs/>
          <w:sz w:val="16"/>
          <w:szCs w:val="16"/>
        </w:rPr>
        <w:t>in 202</w:t>
      </w:r>
      <w:r>
        <w:rPr>
          <w:rFonts w:cs="Arial"/>
          <w:bCs/>
          <w:sz w:val="16"/>
          <w:szCs w:val="16"/>
        </w:rPr>
        <w:t>2</w:t>
      </w:r>
      <w:r w:rsidR="000D2264">
        <w:rPr>
          <w:rFonts w:cs="Arial"/>
          <w:bCs/>
          <w:sz w:val="16"/>
          <w:szCs w:val="16"/>
        </w:rPr>
        <w:t>–</w:t>
      </w:r>
      <w:r w:rsidRPr="00B15F77">
        <w:rPr>
          <w:rFonts w:cs="Arial"/>
          <w:bCs/>
          <w:sz w:val="16"/>
          <w:szCs w:val="16"/>
        </w:rPr>
        <w:t>2</w:t>
      </w:r>
      <w:r>
        <w:rPr>
          <w:rFonts w:cs="Arial"/>
          <w:bCs/>
          <w:sz w:val="16"/>
          <w:szCs w:val="16"/>
        </w:rPr>
        <w:t xml:space="preserve">3. Approximately 91% are </w:t>
      </w:r>
      <w:r w:rsidRPr="00B15F77">
        <w:rPr>
          <w:rFonts w:cs="Arial"/>
          <w:bCs/>
          <w:sz w:val="16"/>
          <w:szCs w:val="16"/>
        </w:rPr>
        <w:t>for the provision of workforce reporting data to Queensland Treasury for determining</w:t>
      </w:r>
      <w:r>
        <w:rPr>
          <w:rFonts w:cs="Arial"/>
          <w:bCs/>
          <w:sz w:val="16"/>
          <w:szCs w:val="16"/>
        </w:rPr>
        <w:t xml:space="preserve"> the</w:t>
      </w:r>
      <w:r w:rsidRPr="00B15F77">
        <w:rPr>
          <w:rFonts w:cs="Arial"/>
          <w:bCs/>
          <w:sz w:val="16"/>
          <w:szCs w:val="16"/>
        </w:rPr>
        <w:t xml:space="preserve"> actuarial review of employee long service leave entitlements (6</w:t>
      </w:r>
      <w:r>
        <w:rPr>
          <w:rFonts w:cs="Arial"/>
          <w:bCs/>
          <w:sz w:val="16"/>
          <w:szCs w:val="16"/>
        </w:rPr>
        <w:t>1</w:t>
      </w:r>
      <w:r w:rsidRPr="00B15F77">
        <w:rPr>
          <w:rFonts w:cs="Arial"/>
          <w:bCs/>
          <w:sz w:val="16"/>
          <w:szCs w:val="16"/>
        </w:rPr>
        <w:t>% in 202</w:t>
      </w:r>
      <w:r>
        <w:rPr>
          <w:rFonts w:cs="Arial"/>
          <w:bCs/>
          <w:sz w:val="16"/>
          <w:szCs w:val="16"/>
        </w:rPr>
        <w:t>1</w:t>
      </w:r>
      <w:r w:rsidR="000D2264">
        <w:rPr>
          <w:rFonts w:cs="Arial"/>
          <w:bCs/>
          <w:sz w:val="16"/>
          <w:szCs w:val="16"/>
        </w:rPr>
        <w:t>–</w:t>
      </w:r>
      <w:r w:rsidRPr="00B15F77">
        <w:rPr>
          <w:rFonts w:cs="Arial"/>
          <w:bCs/>
          <w:sz w:val="16"/>
          <w:szCs w:val="16"/>
        </w:rPr>
        <w:t>2</w:t>
      </w:r>
      <w:r>
        <w:rPr>
          <w:rFonts w:cs="Arial"/>
          <w:bCs/>
          <w:sz w:val="16"/>
          <w:szCs w:val="16"/>
        </w:rPr>
        <w:t>2</w:t>
      </w:r>
      <w:r w:rsidRPr="00B15F77">
        <w:rPr>
          <w:rFonts w:cs="Arial"/>
          <w:bCs/>
          <w:sz w:val="16"/>
          <w:szCs w:val="16"/>
        </w:rPr>
        <w:t>)</w:t>
      </w:r>
      <w:r>
        <w:rPr>
          <w:rFonts w:cs="Arial"/>
          <w:bCs/>
          <w:sz w:val="16"/>
          <w:szCs w:val="16"/>
        </w:rPr>
        <w:t xml:space="preserve"> and 9% are for the fees as coordinator of the Public Sector Management Program (PSMP) delivered by the Queensland University of Technology.</w:t>
      </w:r>
    </w:p>
    <w:p w14:paraId="24A8246E" w14:textId="77777777" w:rsidR="00F61D85" w:rsidRPr="00B15F77" w:rsidRDefault="00F61D85" w:rsidP="00F61D85">
      <w:pPr>
        <w:spacing w:before="120" w:line="259" w:lineRule="auto"/>
        <w:rPr>
          <w:rFonts w:cs="Arial"/>
          <w:bCs/>
          <w:sz w:val="16"/>
          <w:szCs w:val="16"/>
          <w:u w:val="single"/>
        </w:rPr>
      </w:pPr>
      <w:r w:rsidRPr="00B15F77">
        <w:rPr>
          <w:rFonts w:cs="Arial"/>
          <w:bCs/>
          <w:sz w:val="16"/>
          <w:szCs w:val="16"/>
          <w:u w:val="single"/>
        </w:rPr>
        <w:t xml:space="preserve">Note </w:t>
      </w:r>
      <w:r>
        <w:rPr>
          <w:rFonts w:cs="Arial"/>
          <w:bCs/>
          <w:sz w:val="16"/>
          <w:szCs w:val="16"/>
          <w:u w:val="single"/>
        </w:rPr>
        <w:t>B</w:t>
      </w:r>
      <w:r w:rsidRPr="00B15F77">
        <w:rPr>
          <w:rFonts w:cs="Arial"/>
          <w:bCs/>
          <w:sz w:val="16"/>
          <w:szCs w:val="16"/>
          <w:u w:val="single"/>
        </w:rPr>
        <w:t xml:space="preserve">1-2 Grants and Other Contributions </w:t>
      </w:r>
    </w:p>
    <w:p w14:paraId="618A5BA3" w14:textId="4888E653" w:rsidR="00F61D85" w:rsidRPr="00B15F77" w:rsidRDefault="00F61D85" w:rsidP="00F61D85">
      <w:pPr>
        <w:spacing w:before="120" w:line="259" w:lineRule="auto"/>
        <w:rPr>
          <w:rFonts w:cs="Arial"/>
          <w:bCs/>
          <w:sz w:val="16"/>
          <w:szCs w:val="16"/>
        </w:rPr>
      </w:pPr>
      <w:r w:rsidRPr="00B15F77">
        <w:rPr>
          <w:rFonts w:cs="Arial"/>
          <w:bCs/>
          <w:sz w:val="16"/>
          <w:szCs w:val="16"/>
        </w:rPr>
        <w:t>All grants and contributions received by the Commission in 202</w:t>
      </w:r>
      <w:r>
        <w:rPr>
          <w:rFonts w:cs="Arial"/>
          <w:bCs/>
          <w:sz w:val="16"/>
          <w:szCs w:val="16"/>
        </w:rPr>
        <w:t>2</w:t>
      </w:r>
      <w:r w:rsidR="000D2264">
        <w:rPr>
          <w:rFonts w:cs="Arial"/>
          <w:bCs/>
          <w:sz w:val="16"/>
          <w:szCs w:val="16"/>
        </w:rPr>
        <w:t>–</w:t>
      </w:r>
      <w:r w:rsidRPr="00B15F77">
        <w:rPr>
          <w:rFonts w:cs="Arial"/>
          <w:bCs/>
          <w:sz w:val="16"/>
          <w:szCs w:val="16"/>
        </w:rPr>
        <w:t>2</w:t>
      </w:r>
      <w:r>
        <w:rPr>
          <w:rFonts w:cs="Arial"/>
          <w:bCs/>
          <w:sz w:val="16"/>
          <w:szCs w:val="16"/>
        </w:rPr>
        <w:t>3</w:t>
      </w:r>
      <w:r w:rsidRPr="00B15F77">
        <w:rPr>
          <w:rFonts w:cs="Arial"/>
          <w:bCs/>
          <w:sz w:val="16"/>
          <w:szCs w:val="16"/>
        </w:rPr>
        <w:t xml:space="preserve"> and 2021</w:t>
      </w:r>
      <w:r w:rsidR="000D2264">
        <w:rPr>
          <w:rFonts w:cs="Arial"/>
          <w:bCs/>
          <w:sz w:val="16"/>
          <w:szCs w:val="16"/>
        </w:rPr>
        <w:t>–</w:t>
      </w:r>
      <w:r w:rsidRPr="00B15F77">
        <w:rPr>
          <w:rFonts w:cs="Arial"/>
          <w:bCs/>
          <w:sz w:val="16"/>
          <w:szCs w:val="16"/>
        </w:rPr>
        <w:t xml:space="preserve">22 </w:t>
      </w:r>
      <w:proofErr w:type="gramStart"/>
      <w:r w:rsidRPr="00B15F77">
        <w:rPr>
          <w:rFonts w:cs="Arial"/>
          <w:bCs/>
          <w:sz w:val="16"/>
          <w:szCs w:val="16"/>
        </w:rPr>
        <w:t>are</w:t>
      </w:r>
      <w:proofErr w:type="gramEnd"/>
      <w:r w:rsidRPr="00B15F77">
        <w:rPr>
          <w:rFonts w:cs="Arial"/>
          <w:bCs/>
          <w:sz w:val="16"/>
          <w:szCs w:val="16"/>
        </w:rPr>
        <w:t xml:space="preserve"> from Queensland Government departments. No transactions are individually significant to disclose.</w:t>
      </w:r>
    </w:p>
    <w:p w14:paraId="13EA6797" w14:textId="77777777" w:rsidR="00F61D85" w:rsidRPr="00B15F77" w:rsidRDefault="00F61D85" w:rsidP="00F61D85">
      <w:pPr>
        <w:spacing w:before="120" w:line="259" w:lineRule="auto"/>
        <w:rPr>
          <w:rFonts w:cs="Arial"/>
          <w:bCs/>
          <w:sz w:val="16"/>
          <w:szCs w:val="16"/>
          <w:u w:val="single"/>
        </w:rPr>
      </w:pPr>
      <w:r w:rsidRPr="00B15F77">
        <w:rPr>
          <w:rFonts w:cs="Arial"/>
          <w:bCs/>
          <w:sz w:val="16"/>
          <w:szCs w:val="16"/>
          <w:u w:val="single"/>
        </w:rPr>
        <w:t>Other Revenue</w:t>
      </w:r>
    </w:p>
    <w:p w14:paraId="2294CA7F" w14:textId="02F0A2C1" w:rsidR="00F61D85" w:rsidRPr="00B15F77" w:rsidRDefault="00F61D85" w:rsidP="00F61D85">
      <w:pPr>
        <w:spacing w:before="120" w:line="259" w:lineRule="auto"/>
        <w:rPr>
          <w:rFonts w:cs="Arial"/>
          <w:bCs/>
          <w:sz w:val="16"/>
          <w:szCs w:val="16"/>
        </w:rPr>
      </w:pPr>
      <w:r w:rsidRPr="00B15F77">
        <w:rPr>
          <w:rFonts w:cs="Arial"/>
          <w:bCs/>
          <w:sz w:val="16"/>
          <w:szCs w:val="16"/>
        </w:rPr>
        <w:t>Other revenue includes related party transactions of $</w:t>
      </w:r>
      <w:r>
        <w:rPr>
          <w:rFonts w:cs="Arial"/>
          <w:bCs/>
          <w:sz w:val="16"/>
          <w:szCs w:val="16"/>
        </w:rPr>
        <w:t>0.142</w:t>
      </w:r>
      <w:r w:rsidRPr="00B15F77">
        <w:rPr>
          <w:rFonts w:cs="Arial"/>
          <w:bCs/>
          <w:sz w:val="16"/>
          <w:szCs w:val="16"/>
        </w:rPr>
        <w:t>M received by the Commission in 202</w:t>
      </w:r>
      <w:r>
        <w:rPr>
          <w:rFonts w:cs="Arial"/>
          <w:bCs/>
          <w:sz w:val="16"/>
          <w:szCs w:val="16"/>
        </w:rPr>
        <w:t>2</w:t>
      </w:r>
      <w:r w:rsidR="000D2264">
        <w:rPr>
          <w:rFonts w:cs="Arial"/>
          <w:bCs/>
          <w:sz w:val="16"/>
          <w:szCs w:val="16"/>
        </w:rPr>
        <w:t>–</w:t>
      </w:r>
      <w:r w:rsidRPr="00B15F77">
        <w:rPr>
          <w:rFonts w:cs="Arial"/>
          <w:bCs/>
          <w:sz w:val="16"/>
          <w:szCs w:val="16"/>
        </w:rPr>
        <w:t>2</w:t>
      </w:r>
      <w:r>
        <w:rPr>
          <w:rFonts w:cs="Arial"/>
          <w:bCs/>
          <w:sz w:val="16"/>
          <w:szCs w:val="16"/>
        </w:rPr>
        <w:t>3</w:t>
      </w:r>
      <w:r w:rsidRPr="00B15F77">
        <w:rPr>
          <w:rFonts w:cs="Arial"/>
          <w:bCs/>
          <w:sz w:val="16"/>
          <w:szCs w:val="16"/>
        </w:rPr>
        <w:t xml:space="preserve"> and $0.</w:t>
      </w:r>
      <w:r>
        <w:rPr>
          <w:rFonts w:cs="Arial"/>
          <w:bCs/>
          <w:sz w:val="16"/>
          <w:szCs w:val="16"/>
        </w:rPr>
        <w:t>234</w:t>
      </w:r>
      <w:r w:rsidRPr="00B15F77">
        <w:rPr>
          <w:rFonts w:cs="Arial"/>
          <w:bCs/>
          <w:sz w:val="16"/>
          <w:szCs w:val="16"/>
        </w:rPr>
        <w:t>M in 202</w:t>
      </w:r>
      <w:r>
        <w:rPr>
          <w:rFonts w:cs="Arial"/>
          <w:bCs/>
          <w:sz w:val="16"/>
          <w:szCs w:val="16"/>
        </w:rPr>
        <w:t>1</w:t>
      </w:r>
      <w:r w:rsidR="000D2264">
        <w:rPr>
          <w:rFonts w:cs="Arial"/>
          <w:bCs/>
          <w:sz w:val="16"/>
          <w:szCs w:val="16"/>
        </w:rPr>
        <w:t>–</w:t>
      </w:r>
      <w:r w:rsidRPr="00B15F77">
        <w:rPr>
          <w:rFonts w:cs="Arial"/>
          <w:bCs/>
          <w:sz w:val="16"/>
          <w:szCs w:val="16"/>
        </w:rPr>
        <w:t>2</w:t>
      </w:r>
      <w:r>
        <w:rPr>
          <w:rFonts w:cs="Arial"/>
          <w:bCs/>
          <w:sz w:val="16"/>
          <w:szCs w:val="16"/>
        </w:rPr>
        <w:t>2</w:t>
      </w:r>
      <w:r w:rsidRPr="00B15F77">
        <w:rPr>
          <w:rFonts w:cs="Arial"/>
          <w:bCs/>
          <w:sz w:val="16"/>
          <w:szCs w:val="16"/>
        </w:rPr>
        <w:t>, mainly from various Queensland Government departments for Director-General recruitment costs recoveries</w:t>
      </w:r>
      <w:r>
        <w:rPr>
          <w:rFonts w:cs="Arial"/>
          <w:bCs/>
          <w:sz w:val="16"/>
          <w:szCs w:val="16"/>
        </w:rPr>
        <w:t xml:space="preserve"> and recoveries for costs incurred for investigation services</w:t>
      </w:r>
      <w:r w:rsidRPr="00B15F77">
        <w:rPr>
          <w:rFonts w:cs="Arial"/>
          <w:bCs/>
          <w:sz w:val="16"/>
          <w:szCs w:val="16"/>
        </w:rPr>
        <w:t>. No transactions are individually significant to disclose.</w:t>
      </w:r>
    </w:p>
    <w:p w14:paraId="41293E48" w14:textId="77777777" w:rsidR="00F61D85" w:rsidRPr="00B15F77" w:rsidRDefault="00F61D85" w:rsidP="00F61D85">
      <w:pPr>
        <w:spacing w:before="120" w:line="259" w:lineRule="auto"/>
        <w:rPr>
          <w:rFonts w:cs="Arial"/>
          <w:bCs/>
          <w:sz w:val="16"/>
          <w:szCs w:val="16"/>
          <w:u w:val="single"/>
        </w:rPr>
      </w:pPr>
      <w:r w:rsidRPr="00B15F77">
        <w:rPr>
          <w:rFonts w:cs="Arial"/>
          <w:bCs/>
          <w:sz w:val="16"/>
          <w:szCs w:val="16"/>
          <w:u w:val="single"/>
        </w:rPr>
        <w:t xml:space="preserve">Note </w:t>
      </w:r>
      <w:r>
        <w:rPr>
          <w:rFonts w:cs="Arial"/>
          <w:bCs/>
          <w:sz w:val="16"/>
          <w:szCs w:val="16"/>
          <w:u w:val="single"/>
        </w:rPr>
        <w:t>B</w:t>
      </w:r>
      <w:r w:rsidRPr="00B15F77">
        <w:rPr>
          <w:rFonts w:cs="Arial"/>
          <w:bCs/>
          <w:sz w:val="16"/>
          <w:szCs w:val="16"/>
          <w:u w:val="single"/>
        </w:rPr>
        <w:t>2-1 Employee Expenses</w:t>
      </w:r>
    </w:p>
    <w:p w14:paraId="66472952" w14:textId="5F54B629" w:rsidR="00F61D85" w:rsidRDefault="00F61D85" w:rsidP="00F61D85">
      <w:pPr>
        <w:spacing w:before="120" w:line="259" w:lineRule="auto"/>
        <w:rPr>
          <w:rFonts w:cs="Arial"/>
          <w:b/>
          <w:sz w:val="18"/>
          <w:szCs w:val="18"/>
        </w:rPr>
      </w:pPr>
      <w:r w:rsidRPr="00B15F77">
        <w:rPr>
          <w:rFonts w:cs="Arial"/>
          <w:bCs/>
          <w:sz w:val="16"/>
          <w:szCs w:val="16"/>
        </w:rPr>
        <w:t>Employee expenses include related party transactions of $</w:t>
      </w:r>
      <w:r>
        <w:rPr>
          <w:rFonts w:cs="Arial"/>
          <w:bCs/>
          <w:sz w:val="16"/>
          <w:szCs w:val="16"/>
        </w:rPr>
        <w:t>0.527</w:t>
      </w:r>
      <w:r w:rsidRPr="00B15F77">
        <w:rPr>
          <w:rFonts w:cs="Arial"/>
          <w:bCs/>
          <w:sz w:val="16"/>
          <w:szCs w:val="16"/>
        </w:rPr>
        <w:t>M in 202</w:t>
      </w:r>
      <w:r>
        <w:rPr>
          <w:rFonts w:cs="Arial"/>
          <w:bCs/>
          <w:sz w:val="16"/>
          <w:szCs w:val="16"/>
        </w:rPr>
        <w:t>2</w:t>
      </w:r>
      <w:r w:rsidR="000D2264">
        <w:rPr>
          <w:rFonts w:cs="Arial"/>
          <w:bCs/>
          <w:sz w:val="16"/>
          <w:szCs w:val="16"/>
        </w:rPr>
        <w:t>–</w:t>
      </w:r>
      <w:r w:rsidRPr="00B15F77">
        <w:rPr>
          <w:rFonts w:cs="Arial"/>
          <w:bCs/>
          <w:sz w:val="16"/>
          <w:szCs w:val="16"/>
        </w:rPr>
        <w:t>2</w:t>
      </w:r>
      <w:r>
        <w:rPr>
          <w:rFonts w:cs="Arial"/>
          <w:bCs/>
          <w:sz w:val="16"/>
          <w:szCs w:val="16"/>
        </w:rPr>
        <w:t>3</w:t>
      </w:r>
      <w:r w:rsidRPr="00B15F77">
        <w:rPr>
          <w:rFonts w:cs="Arial"/>
          <w:bCs/>
          <w:sz w:val="16"/>
          <w:szCs w:val="16"/>
        </w:rPr>
        <w:t xml:space="preserve"> and $0.</w:t>
      </w:r>
      <w:r>
        <w:rPr>
          <w:rFonts w:cs="Arial"/>
          <w:bCs/>
          <w:sz w:val="16"/>
          <w:szCs w:val="16"/>
        </w:rPr>
        <w:t>556</w:t>
      </w:r>
      <w:r w:rsidRPr="00B15F77">
        <w:rPr>
          <w:rFonts w:cs="Arial"/>
          <w:bCs/>
          <w:sz w:val="16"/>
          <w:szCs w:val="16"/>
        </w:rPr>
        <w:t>M in 202</w:t>
      </w:r>
      <w:r>
        <w:rPr>
          <w:rFonts w:cs="Arial"/>
          <w:bCs/>
          <w:sz w:val="16"/>
          <w:szCs w:val="16"/>
        </w:rPr>
        <w:t>1</w:t>
      </w:r>
      <w:r w:rsidR="000D2264">
        <w:rPr>
          <w:rFonts w:cs="Arial"/>
          <w:bCs/>
          <w:sz w:val="16"/>
          <w:szCs w:val="16"/>
        </w:rPr>
        <w:t>–</w:t>
      </w:r>
      <w:r w:rsidRPr="00B15F77">
        <w:rPr>
          <w:rFonts w:cs="Arial"/>
          <w:bCs/>
          <w:sz w:val="16"/>
          <w:szCs w:val="16"/>
        </w:rPr>
        <w:t>2</w:t>
      </w:r>
      <w:r>
        <w:rPr>
          <w:rFonts w:cs="Arial"/>
          <w:bCs/>
          <w:sz w:val="16"/>
          <w:szCs w:val="16"/>
        </w:rPr>
        <w:t>2</w:t>
      </w:r>
      <w:r w:rsidRPr="00B15F77">
        <w:rPr>
          <w:rFonts w:cs="Arial"/>
          <w:bCs/>
          <w:sz w:val="16"/>
          <w:szCs w:val="16"/>
        </w:rPr>
        <w:t>, primarily for the Department of the Premier and Cabinet’s Policy Graduate Program</w:t>
      </w:r>
      <w:r>
        <w:rPr>
          <w:rFonts w:cs="Arial"/>
          <w:bCs/>
          <w:sz w:val="16"/>
          <w:szCs w:val="16"/>
        </w:rPr>
        <w:t>.</w:t>
      </w:r>
    </w:p>
    <w:p w14:paraId="53090E79" w14:textId="77777777" w:rsidR="00F61D85" w:rsidRPr="00B15F77" w:rsidRDefault="00F61D85" w:rsidP="00F61D85">
      <w:pPr>
        <w:spacing w:before="120" w:line="259" w:lineRule="auto"/>
        <w:rPr>
          <w:rFonts w:cs="Arial"/>
          <w:bCs/>
          <w:sz w:val="16"/>
          <w:szCs w:val="16"/>
          <w:u w:val="single"/>
        </w:rPr>
      </w:pPr>
      <w:r w:rsidRPr="00B15F77">
        <w:rPr>
          <w:rFonts w:cs="Arial"/>
          <w:bCs/>
          <w:sz w:val="16"/>
          <w:szCs w:val="16"/>
          <w:u w:val="single"/>
        </w:rPr>
        <w:t xml:space="preserve">Note </w:t>
      </w:r>
      <w:r>
        <w:rPr>
          <w:rFonts w:cs="Arial"/>
          <w:bCs/>
          <w:sz w:val="16"/>
          <w:szCs w:val="16"/>
          <w:u w:val="single"/>
        </w:rPr>
        <w:t>B</w:t>
      </w:r>
      <w:r w:rsidRPr="00B15F77">
        <w:rPr>
          <w:rFonts w:cs="Arial"/>
          <w:bCs/>
          <w:sz w:val="16"/>
          <w:szCs w:val="16"/>
          <w:u w:val="single"/>
        </w:rPr>
        <w:t>2-2 Supplies and Services</w:t>
      </w:r>
    </w:p>
    <w:p w14:paraId="5D85FEFF" w14:textId="4F6077FE" w:rsidR="00E81C34" w:rsidRPr="00196AAA" w:rsidRDefault="00F61D85" w:rsidP="002451C8">
      <w:pPr>
        <w:spacing w:before="120" w:line="259" w:lineRule="auto"/>
        <w:rPr>
          <w:rFonts w:cs="Arial"/>
          <w:bCs/>
          <w:sz w:val="4"/>
          <w:szCs w:val="4"/>
        </w:rPr>
      </w:pPr>
      <w:r w:rsidRPr="00B15F77">
        <w:rPr>
          <w:rFonts w:cs="Arial"/>
          <w:bCs/>
          <w:sz w:val="16"/>
          <w:szCs w:val="16"/>
        </w:rPr>
        <w:t>Supplies and services include related party transactions of $</w:t>
      </w:r>
      <w:r>
        <w:rPr>
          <w:rFonts w:cs="Arial"/>
          <w:bCs/>
          <w:sz w:val="16"/>
          <w:szCs w:val="16"/>
        </w:rPr>
        <w:t>2.12</w:t>
      </w:r>
      <w:r w:rsidRPr="00B15F77">
        <w:rPr>
          <w:rFonts w:cs="Arial"/>
          <w:bCs/>
          <w:sz w:val="16"/>
          <w:szCs w:val="16"/>
        </w:rPr>
        <w:t>M in 202</w:t>
      </w:r>
      <w:r>
        <w:rPr>
          <w:rFonts w:cs="Arial"/>
          <w:bCs/>
          <w:sz w:val="16"/>
          <w:szCs w:val="16"/>
        </w:rPr>
        <w:t>2</w:t>
      </w:r>
      <w:r w:rsidR="000D2264">
        <w:rPr>
          <w:rFonts w:cs="Arial"/>
          <w:bCs/>
          <w:sz w:val="16"/>
          <w:szCs w:val="16"/>
        </w:rPr>
        <w:t>–</w:t>
      </w:r>
      <w:r w:rsidRPr="00B15F77">
        <w:rPr>
          <w:rFonts w:cs="Arial"/>
          <w:bCs/>
          <w:sz w:val="16"/>
          <w:szCs w:val="16"/>
        </w:rPr>
        <w:t>2</w:t>
      </w:r>
      <w:r>
        <w:rPr>
          <w:rFonts w:cs="Arial"/>
          <w:bCs/>
          <w:sz w:val="16"/>
          <w:szCs w:val="16"/>
        </w:rPr>
        <w:t>3</w:t>
      </w:r>
      <w:r w:rsidRPr="00B15F77">
        <w:rPr>
          <w:rFonts w:cs="Arial"/>
          <w:bCs/>
          <w:sz w:val="16"/>
          <w:szCs w:val="16"/>
        </w:rPr>
        <w:t xml:space="preserve"> and $2.</w:t>
      </w:r>
      <w:r>
        <w:rPr>
          <w:rFonts w:cs="Arial"/>
          <w:bCs/>
          <w:sz w:val="16"/>
          <w:szCs w:val="16"/>
        </w:rPr>
        <w:t>130</w:t>
      </w:r>
      <w:r w:rsidRPr="00B15F77">
        <w:rPr>
          <w:rFonts w:cs="Arial"/>
          <w:bCs/>
          <w:sz w:val="16"/>
          <w:szCs w:val="16"/>
        </w:rPr>
        <w:t>M in 202</w:t>
      </w:r>
      <w:r>
        <w:rPr>
          <w:rFonts w:cs="Arial"/>
          <w:bCs/>
          <w:sz w:val="16"/>
          <w:szCs w:val="16"/>
        </w:rPr>
        <w:t>1</w:t>
      </w:r>
      <w:r w:rsidR="000D2264">
        <w:rPr>
          <w:rFonts w:cs="Arial"/>
          <w:bCs/>
          <w:sz w:val="16"/>
          <w:szCs w:val="16"/>
        </w:rPr>
        <w:t>–</w:t>
      </w:r>
      <w:r w:rsidRPr="00B15F77">
        <w:rPr>
          <w:rFonts w:cs="Arial"/>
          <w:bCs/>
          <w:sz w:val="16"/>
          <w:szCs w:val="16"/>
        </w:rPr>
        <w:t>2</w:t>
      </w:r>
      <w:r>
        <w:rPr>
          <w:rFonts w:cs="Arial"/>
          <w:bCs/>
          <w:sz w:val="16"/>
          <w:szCs w:val="16"/>
        </w:rPr>
        <w:t>2</w:t>
      </w:r>
      <w:r w:rsidRPr="00B15F77">
        <w:rPr>
          <w:rFonts w:cs="Arial"/>
          <w:bCs/>
          <w:sz w:val="16"/>
          <w:szCs w:val="16"/>
        </w:rPr>
        <w:t>. The material transaction below for Department of Energy and Public Works primarily relate</w:t>
      </w:r>
      <w:r w:rsidRPr="00196AAA">
        <w:rPr>
          <w:rFonts w:cs="Arial"/>
          <w:bCs/>
          <w:sz w:val="16"/>
          <w:szCs w:val="16"/>
        </w:rPr>
        <w:t xml:space="preserve"> to the property rent</w:t>
      </w:r>
      <w:r>
        <w:rPr>
          <w:rFonts w:cs="Arial"/>
          <w:bCs/>
          <w:sz w:val="16"/>
          <w:szCs w:val="16"/>
        </w:rPr>
        <w:t xml:space="preserve"> and utilities and the rental fees for car parks</w:t>
      </w:r>
      <w:r w:rsidRPr="00196AAA">
        <w:rPr>
          <w:rFonts w:cs="Arial"/>
          <w:bCs/>
          <w:sz w:val="16"/>
          <w:szCs w:val="16"/>
        </w:rPr>
        <w:t xml:space="preserve"> (charged at market rates). The other material transaction relates to the Service Level Agreement expenses for </w:t>
      </w:r>
      <w:r>
        <w:rPr>
          <w:rFonts w:cs="Arial"/>
          <w:bCs/>
          <w:sz w:val="16"/>
          <w:szCs w:val="16"/>
        </w:rPr>
        <w:t>c</w:t>
      </w:r>
      <w:r w:rsidRPr="00196AAA">
        <w:rPr>
          <w:rFonts w:cs="Arial"/>
          <w:bCs/>
          <w:sz w:val="16"/>
          <w:szCs w:val="16"/>
        </w:rPr>
        <w:t>orporate support provided by the Department of the Premier and Cabinet.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451"/>
        <w:gridCol w:w="3323"/>
      </w:tblGrid>
      <w:tr w:rsidR="00F61D85" w:rsidRPr="00196AAA" w14:paraId="344A7072" w14:textId="77777777" w:rsidTr="00E81C34">
        <w:trPr>
          <w:trHeight w:val="597"/>
        </w:trPr>
        <w:tc>
          <w:tcPr>
            <w:tcW w:w="3865" w:type="dxa"/>
            <w:shd w:val="clear" w:color="auto" w:fill="auto"/>
            <w:vAlign w:val="center"/>
          </w:tcPr>
          <w:p w14:paraId="0ECEBFED" w14:textId="77777777" w:rsidR="00F61D85" w:rsidRPr="00196AAA" w:rsidRDefault="00F61D85" w:rsidP="0061382E">
            <w:pPr>
              <w:spacing w:before="120" w:line="259" w:lineRule="auto"/>
              <w:rPr>
                <w:rFonts w:cs="Arial"/>
                <w:bCs/>
                <w:sz w:val="16"/>
                <w:szCs w:val="16"/>
              </w:rPr>
            </w:pPr>
            <w:r w:rsidRPr="00196AAA">
              <w:rPr>
                <w:rFonts w:cs="Arial"/>
                <w:b/>
                <w:bCs/>
                <w:sz w:val="16"/>
                <w:szCs w:val="16"/>
              </w:rPr>
              <w:t>Department Name</w:t>
            </w:r>
          </w:p>
        </w:tc>
        <w:tc>
          <w:tcPr>
            <w:tcW w:w="2451" w:type="dxa"/>
            <w:shd w:val="clear" w:color="auto" w:fill="auto"/>
            <w:vAlign w:val="center"/>
          </w:tcPr>
          <w:p w14:paraId="2CA590C2" w14:textId="7069F0CB" w:rsidR="00F61D85" w:rsidRPr="00196AAA" w:rsidRDefault="00F61D85" w:rsidP="0061382E">
            <w:pPr>
              <w:spacing w:before="120" w:line="259" w:lineRule="auto"/>
              <w:jc w:val="center"/>
              <w:rPr>
                <w:rFonts w:cs="Arial"/>
                <w:b/>
                <w:bCs/>
                <w:sz w:val="16"/>
                <w:szCs w:val="16"/>
              </w:rPr>
            </w:pPr>
            <w:r w:rsidRPr="00196AAA">
              <w:rPr>
                <w:rFonts w:cs="Arial"/>
                <w:b/>
                <w:bCs/>
                <w:sz w:val="16"/>
                <w:szCs w:val="16"/>
              </w:rPr>
              <w:t>20</w:t>
            </w:r>
            <w:r>
              <w:rPr>
                <w:rFonts w:cs="Arial"/>
                <w:b/>
                <w:bCs/>
                <w:sz w:val="16"/>
                <w:szCs w:val="16"/>
              </w:rPr>
              <w:t>22</w:t>
            </w:r>
            <w:r w:rsidR="00693679">
              <w:rPr>
                <w:rFonts w:cs="Arial"/>
                <w:b/>
                <w:bCs/>
                <w:sz w:val="16"/>
                <w:szCs w:val="16"/>
              </w:rPr>
              <w:t>–</w:t>
            </w:r>
            <w:r w:rsidRPr="00196AAA">
              <w:rPr>
                <w:rFonts w:cs="Arial"/>
                <w:b/>
                <w:bCs/>
                <w:sz w:val="16"/>
                <w:szCs w:val="16"/>
              </w:rPr>
              <w:t>2</w:t>
            </w:r>
            <w:r>
              <w:rPr>
                <w:rFonts w:cs="Arial"/>
                <w:b/>
                <w:bCs/>
                <w:sz w:val="16"/>
                <w:szCs w:val="16"/>
              </w:rPr>
              <w:t>3</w:t>
            </w:r>
          </w:p>
          <w:p w14:paraId="66AF3C04" w14:textId="77777777" w:rsidR="00F61D85" w:rsidRPr="00196AAA" w:rsidRDefault="00F61D85" w:rsidP="0061382E">
            <w:pPr>
              <w:spacing w:before="120" w:line="259" w:lineRule="auto"/>
              <w:jc w:val="center"/>
              <w:rPr>
                <w:rFonts w:cs="Arial"/>
                <w:bCs/>
                <w:sz w:val="16"/>
                <w:szCs w:val="16"/>
              </w:rPr>
            </w:pPr>
            <w:r w:rsidRPr="00196AAA">
              <w:rPr>
                <w:rFonts w:cs="Arial"/>
                <w:b/>
                <w:bCs/>
                <w:sz w:val="16"/>
                <w:szCs w:val="16"/>
              </w:rPr>
              <w:t>$’000</w:t>
            </w:r>
          </w:p>
        </w:tc>
        <w:tc>
          <w:tcPr>
            <w:tcW w:w="3323" w:type="dxa"/>
            <w:vAlign w:val="center"/>
          </w:tcPr>
          <w:p w14:paraId="6B9E419D" w14:textId="71487849" w:rsidR="00F61D85" w:rsidRPr="00196AAA" w:rsidRDefault="00F61D85" w:rsidP="0061382E">
            <w:pPr>
              <w:spacing w:before="120" w:line="259" w:lineRule="auto"/>
              <w:jc w:val="center"/>
              <w:rPr>
                <w:rFonts w:cs="Arial"/>
                <w:b/>
                <w:bCs/>
                <w:sz w:val="16"/>
                <w:szCs w:val="16"/>
              </w:rPr>
            </w:pPr>
            <w:r w:rsidRPr="00196AAA">
              <w:rPr>
                <w:rFonts w:cs="Arial"/>
                <w:b/>
                <w:bCs/>
                <w:sz w:val="16"/>
                <w:szCs w:val="16"/>
              </w:rPr>
              <w:t>20</w:t>
            </w:r>
            <w:r>
              <w:rPr>
                <w:rFonts w:cs="Arial"/>
                <w:b/>
                <w:bCs/>
                <w:sz w:val="16"/>
                <w:szCs w:val="16"/>
              </w:rPr>
              <w:t>21</w:t>
            </w:r>
            <w:r w:rsidR="00693679">
              <w:rPr>
                <w:rFonts w:cs="Arial"/>
                <w:b/>
                <w:bCs/>
                <w:sz w:val="16"/>
                <w:szCs w:val="16"/>
              </w:rPr>
              <w:t>–</w:t>
            </w:r>
            <w:r w:rsidRPr="00196AAA">
              <w:rPr>
                <w:rFonts w:cs="Arial"/>
                <w:b/>
                <w:bCs/>
                <w:sz w:val="16"/>
                <w:szCs w:val="16"/>
              </w:rPr>
              <w:t>2</w:t>
            </w:r>
            <w:r>
              <w:rPr>
                <w:rFonts w:cs="Arial"/>
                <w:b/>
                <w:bCs/>
                <w:sz w:val="16"/>
                <w:szCs w:val="16"/>
              </w:rPr>
              <w:t>2</w:t>
            </w:r>
          </w:p>
          <w:p w14:paraId="31480DE9" w14:textId="77777777" w:rsidR="00F61D85" w:rsidRPr="00196AAA" w:rsidRDefault="00F61D85" w:rsidP="0061382E">
            <w:pPr>
              <w:spacing w:before="120" w:line="259" w:lineRule="auto"/>
              <w:jc w:val="center"/>
              <w:rPr>
                <w:rFonts w:cs="Arial"/>
                <w:bCs/>
                <w:sz w:val="16"/>
                <w:szCs w:val="16"/>
              </w:rPr>
            </w:pPr>
            <w:r w:rsidRPr="00196AAA">
              <w:rPr>
                <w:rFonts w:cs="Arial"/>
                <w:b/>
                <w:bCs/>
                <w:sz w:val="16"/>
                <w:szCs w:val="16"/>
              </w:rPr>
              <w:t>$’000</w:t>
            </w:r>
          </w:p>
        </w:tc>
      </w:tr>
      <w:tr w:rsidR="00F61D85" w:rsidRPr="00196AAA" w14:paraId="55CF42E0" w14:textId="77777777" w:rsidTr="00E81C34">
        <w:trPr>
          <w:trHeight w:val="302"/>
        </w:trPr>
        <w:tc>
          <w:tcPr>
            <w:tcW w:w="3865" w:type="dxa"/>
            <w:shd w:val="clear" w:color="auto" w:fill="auto"/>
            <w:vAlign w:val="center"/>
          </w:tcPr>
          <w:p w14:paraId="26C8A639" w14:textId="77777777" w:rsidR="00F61D85" w:rsidRPr="00196AAA" w:rsidRDefault="00F61D85" w:rsidP="0061382E">
            <w:pPr>
              <w:spacing w:before="120" w:line="259" w:lineRule="auto"/>
              <w:rPr>
                <w:rFonts w:cs="Arial"/>
                <w:bCs/>
                <w:sz w:val="16"/>
                <w:szCs w:val="16"/>
              </w:rPr>
            </w:pPr>
            <w:r w:rsidRPr="00196AAA">
              <w:rPr>
                <w:rFonts w:cs="Arial"/>
                <w:bCs/>
                <w:sz w:val="16"/>
                <w:szCs w:val="16"/>
              </w:rPr>
              <w:t xml:space="preserve">Department of </w:t>
            </w:r>
            <w:r>
              <w:rPr>
                <w:rFonts w:cs="Arial"/>
                <w:bCs/>
                <w:sz w:val="16"/>
                <w:szCs w:val="16"/>
              </w:rPr>
              <w:t>Energy</w:t>
            </w:r>
            <w:r w:rsidRPr="00196AAA">
              <w:rPr>
                <w:rFonts w:cs="Arial"/>
                <w:bCs/>
                <w:sz w:val="16"/>
                <w:szCs w:val="16"/>
              </w:rPr>
              <w:t xml:space="preserve"> and Public Works</w:t>
            </w:r>
          </w:p>
        </w:tc>
        <w:tc>
          <w:tcPr>
            <w:tcW w:w="2451" w:type="dxa"/>
            <w:shd w:val="clear" w:color="auto" w:fill="auto"/>
            <w:vAlign w:val="center"/>
          </w:tcPr>
          <w:p w14:paraId="7A9DA641" w14:textId="77777777" w:rsidR="00F61D85" w:rsidRPr="00196AAA" w:rsidRDefault="00F61D85" w:rsidP="0061382E">
            <w:pPr>
              <w:spacing w:before="120" w:line="259" w:lineRule="auto"/>
              <w:jc w:val="center"/>
              <w:rPr>
                <w:rFonts w:cs="Arial"/>
                <w:bCs/>
                <w:sz w:val="16"/>
                <w:szCs w:val="16"/>
              </w:rPr>
            </w:pPr>
            <w:r>
              <w:rPr>
                <w:rFonts w:cs="Arial"/>
                <w:bCs/>
                <w:sz w:val="16"/>
                <w:szCs w:val="16"/>
              </w:rPr>
              <w:t>1,311</w:t>
            </w:r>
          </w:p>
        </w:tc>
        <w:tc>
          <w:tcPr>
            <w:tcW w:w="3323" w:type="dxa"/>
            <w:vAlign w:val="center"/>
          </w:tcPr>
          <w:p w14:paraId="0D000BBE" w14:textId="77777777" w:rsidR="00F61D85" w:rsidRPr="00196AAA" w:rsidRDefault="00F61D85" w:rsidP="0061382E">
            <w:pPr>
              <w:spacing w:before="120" w:line="259" w:lineRule="auto"/>
              <w:jc w:val="center"/>
              <w:rPr>
                <w:rFonts w:cs="Arial"/>
                <w:bCs/>
                <w:sz w:val="16"/>
                <w:szCs w:val="16"/>
              </w:rPr>
            </w:pPr>
            <w:r w:rsidRPr="00196AAA">
              <w:rPr>
                <w:rFonts w:cs="Arial"/>
                <w:bCs/>
                <w:sz w:val="16"/>
                <w:szCs w:val="16"/>
              </w:rPr>
              <w:t>1,</w:t>
            </w:r>
            <w:r>
              <w:rPr>
                <w:rFonts w:cs="Arial"/>
                <w:bCs/>
                <w:sz w:val="16"/>
                <w:szCs w:val="16"/>
              </w:rPr>
              <w:t>343</w:t>
            </w:r>
          </w:p>
        </w:tc>
      </w:tr>
      <w:tr w:rsidR="00F61D85" w:rsidRPr="00196AAA" w14:paraId="4CFDCD54" w14:textId="77777777" w:rsidTr="00E81C34">
        <w:trPr>
          <w:trHeight w:val="302"/>
        </w:trPr>
        <w:tc>
          <w:tcPr>
            <w:tcW w:w="3865" w:type="dxa"/>
            <w:shd w:val="clear" w:color="auto" w:fill="auto"/>
            <w:vAlign w:val="center"/>
          </w:tcPr>
          <w:p w14:paraId="0B4576D3" w14:textId="77777777" w:rsidR="00F61D85" w:rsidRPr="00196AAA" w:rsidRDefault="00F61D85" w:rsidP="0061382E">
            <w:pPr>
              <w:spacing w:before="120" w:line="259" w:lineRule="auto"/>
              <w:rPr>
                <w:rFonts w:cs="Arial"/>
                <w:bCs/>
                <w:sz w:val="16"/>
                <w:szCs w:val="16"/>
              </w:rPr>
            </w:pPr>
            <w:r w:rsidRPr="00196AAA">
              <w:rPr>
                <w:rFonts w:cs="Arial"/>
                <w:bCs/>
                <w:sz w:val="16"/>
                <w:szCs w:val="16"/>
              </w:rPr>
              <w:t>Department of the Premier and Cabinet</w:t>
            </w:r>
          </w:p>
        </w:tc>
        <w:tc>
          <w:tcPr>
            <w:tcW w:w="2451" w:type="dxa"/>
            <w:shd w:val="clear" w:color="auto" w:fill="auto"/>
            <w:vAlign w:val="center"/>
          </w:tcPr>
          <w:p w14:paraId="02EC4244" w14:textId="77777777" w:rsidR="00F61D85" w:rsidRPr="00196AAA" w:rsidRDefault="00F61D85" w:rsidP="0061382E">
            <w:pPr>
              <w:spacing w:before="120" w:line="259" w:lineRule="auto"/>
              <w:jc w:val="center"/>
              <w:rPr>
                <w:rFonts w:cs="Arial"/>
                <w:bCs/>
                <w:sz w:val="16"/>
                <w:szCs w:val="16"/>
              </w:rPr>
            </w:pPr>
            <w:r>
              <w:rPr>
                <w:rFonts w:cs="Arial"/>
                <w:bCs/>
                <w:sz w:val="16"/>
                <w:szCs w:val="16"/>
              </w:rPr>
              <w:t>564</w:t>
            </w:r>
          </w:p>
        </w:tc>
        <w:tc>
          <w:tcPr>
            <w:tcW w:w="3323" w:type="dxa"/>
            <w:vAlign w:val="center"/>
          </w:tcPr>
          <w:p w14:paraId="3CB6D45D" w14:textId="77777777" w:rsidR="00F61D85" w:rsidRPr="00196AAA" w:rsidRDefault="00F61D85" w:rsidP="0061382E">
            <w:pPr>
              <w:spacing w:before="120" w:line="259" w:lineRule="auto"/>
              <w:jc w:val="center"/>
              <w:rPr>
                <w:rFonts w:cs="Arial"/>
                <w:bCs/>
                <w:sz w:val="16"/>
                <w:szCs w:val="16"/>
              </w:rPr>
            </w:pPr>
            <w:r>
              <w:rPr>
                <w:rFonts w:cs="Arial"/>
                <w:bCs/>
                <w:sz w:val="16"/>
                <w:szCs w:val="16"/>
              </w:rPr>
              <w:t>490</w:t>
            </w:r>
          </w:p>
        </w:tc>
      </w:tr>
    </w:tbl>
    <w:p w14:paraId="73A4C31D" w14:textId="77777777" w:rsidR="002451C8" w:rsidRDefault="002451C8" w:rsidP="00447615">
      <w:pPr>
        <w:spacing w:before="120" w:line="259" w:lineRule="auto"/>
        <w:rPr>
          <w:rFonts w:cs="Arial"/>
          <w:b/>
          <w:sz w:val="18"/>
          <w:szCs w:val="18"/>
        </w:rPr>
      </w:pPr>
    </w:p>
    <w:p w14:paraId="28BC656C" w14:textId="01675140" w:rsidR="00447615" w:rsidRPr="00196AAA" w:rsidRDefault="00447615" w:rsidP="00447615">
      <w:pPr>
        <w:spacing w:before="120" w:line="259" w:lineRule="auto"/>
        <w:rPr>
          <w:rFonts w:cs="Arial"/>
          <w:b/>
          <w:sz w:val="18"/>
          <w:szCs w:val="18"/>
        </w:rPr>
      </w:pPr>
      <w:r>
        <w:rPr>
          <w:rFonts w:cs="Arial"/>
          <w:b/>
          <w:sz w:val="18"/>
          <w:szCs w:val="18"/>
        </w:rPr>
        <w:t xml:space="preserve">E2 </w:t>
      </w:r>
      <w:r w:rsidRPr="00196AAA">
        <w:rPr>
          <w:rFonts w:cs="Arial"/>
          <w:b/>
          <w:sz w:val="18"/>
          <w:szCs w:val="18"/>
        </w:rPr>
        <w:t xml:space="preserve">Related Party Transactions </w:t>
      </w:r>
      <w:r>
        <w:rPr>
          <w:rFonts w:cs="Arial"/>
          <w:b/>
          <w:sz w:val="18"/>
          <w:szCs w:val="18"/>
        </w:rPr>
        <w:t>(cont’d)</w:t>
      </w:r>
    </w:p>
    <w:p w14:paraId="5E8BAB29" w14:textId="77777777" w:rsidR="00447615" w:rsidRPr="00196AAA" w:rsidRDefault="00447615" w:rsidP="00447615">
      <w:pPr>
        <w:spacing w:before="240" w:line="259" w:lineRule="auto"/>
        <w:rPr>
          <w:rFonts w:cs="Arial"/>
          <w:bCs/>
          <w:sz w:val="16"/>
          <w:szCs w:val="16"/>
          <w:u w:val="single"/>
        </w:rPr>
      </w:pPr>
      <w:r w:rsidRPr="00196AAA">
        <w:rPr>
          <w:rFonts w:cs="Arial"/>
          <w:bCs/>
          <w:sz w:val="16"/>
          <w:szCs w:val="16"/>
          <w:u w:val="single"/>
        </w:rPr>
        <w:lastRenderedPageBreak/>
        <w:t xml:space="preserve">Note </w:t>
      </w:r>
      <w:r>
        <w:rPr>
          <w:rFonts w:cs="Arial"/>
          <w:bCs/>
          <w:sz w:val="16"/>
          <w:szCs w:val="16"/>
          <w:u w:val="single"/>
        </w:rPr>
        <w:t>B</w:t>
      </w:r>
      <w:r w:rsidRPr="00196AAA">
        <w:rPr>
          <w:rFonts w:cs="Arial"/>
          <w:bCs/>
          <w:sz w:val="16"/>
          <w:szCs w:val="16"/>
          <w:u w:val="single"/>
        </w:rPr>
        <w:t>2-3 Other Expenses</w:t>
      </w:r>
    </w:p>
    <w:p w14:paraId="16F60BC8" w14:textId="76E63DD7" w:rsidR="00F61D85" w:rsidRDefault="00447615" w:rsidP="00447615">
      <w:pPr>
        <w:spacing w:before="120" w:line="259" w:lineRule="auto"/>
        <w:rPr>
          <w:rFonts w:cs="Arial"/>
          <w:b/>
          <w:sz w:val="18"/>
          <w:szCs w:val="18"/>
        </w:rPr>
      </w:pPr>
      <w:r w:rsidRPr="00196AAA">
        <w:rPr>
          <w:rFonts w:cs="Arial"/>
          <w:bCs/>
          <w:sz w:val="16"/>
          <w:szCs w:val="16"/>
        </w:rPr>
        <w:t xml:space="preserve">All </w:t>
      </w:r>
      <w:r>
        <w:rPr>
          <w:rFonts w:cs="Arial"/>
          <w:bCs/>
          <w:sz w:val="16"/>
          <w:szCs w:val="16"/>
        </w:rPr>
        <w:t>other expenses incurred</w:t>
      </w:r>
      <w:r w:rsidRPr="00196AAA">
        <w:rPr>
          <w:rFonts w:cs="Arial"/>
          <w:bCs/>
          <w:sz w:val="16"/>
          <w:szCs w:val="16"/>
        </w:rPr>
        <w:t xml:space="preserve"> by the Commission in </w:t>
      </w:r>
      <w:r>
        <w:rPr>
          <w:rFonts w:cs="Arial"/>
          <w:bCs/>
          <w:sz w:val="16"/>
          <w:szCs w:val="16"/>
        </w:rPr>
        <w:t>2022</w:t>
      </w:r>
      <w:r w:rsidR="000D2264">
        <w:rPr>
          <w:rFonts w:cs="Arial"/>
          <w:bCs/>
          <w:sz w:val="16"/>
          <w:szCs w:val="16"/>
        </w:rPr>
        <w:t>–</w:t>
      </w:r>
      <w:r>
        <w:rPr>
          <w:rFonts w:cs="Arial"/>
          <w:bCs/>
          <w:sz w:val="16"/>
          <w:szCs w:val="16"/>
        </w:rPr>
        <w:t>23</w:t>
      </w:r>
      <w:r w:rsidRPr="00196AAA">
        <w:rPr>
          <w:rFonts w:cs="Arial"/>
          <w:bCs/>
          <w:sz w:val="16"/>
          <w:szCs w:val="16"/>
        </w:rPr>
        <w:t xml:space="preserve"> and </w:t>
      </w:r>
      <w:r>
        <w:rPr>
          <w:rFonts w:cs="Arial"/>
          <w:bCs/>
          <w:sz w:val="16"/>
          <w:szCs w:val="16"/>
        </w:rPr>
        <w:t>2021</w:t>
      </w:r>
      <w:r w:rsidR="000D2264">
        <w:rPr>
          <w:rFonts w:cs="Arial"/>
          <w:bCs/>
          <w:sz w:val="16"/>
          <w:szCs w:val="16"/>
        </w:rPr>
        <w:t>–</w:t>
      </w:r>
      <w:r>
        <w:rPr>
          <w:rFonts w:cs="Arial"/>
          <w:bCs/>
          <w:sz w:val="16"/>
          <w:szCs w:val="16"/>
        </w:rPr>
        <w:t>22</w:t>
      </w:r>
      <w:r w:rsidRPr="00196AAA">
        <w:rPr>
          <w:rFonts w:cs="Arial"/>
          <w:bCs/>
          <w:sz w:val="16"/>
          <w:szCs w:val="16"/>
        </w:rPr>
        <w:t xml:space="preserve"> </w:t>
      </w:r>
      <w:proofErr w:type="gramStart"/>
      <w:r w:rsidRPr="00196AAA">
        <w:rPr>
          <w:rFonts w:cs="Arial"/>
          <w:bCs/>
          <w:sz w:val="16"/>
          <w:szCs w:val="16"/>
        </w:rPr>
        <w:t>are</w:t>
      </w:r>
      <w:proofErr w:type="gramEnd"/>
      <w:r w:rsidRPr="00196AAA">
        <w:rPr>
          <w:rFonts w:cs="Arial"/>
          <w:bCs/>
          <w:sz w:val="16"/>
          <w:szCs w:val="16"/>
        </w:rPr>
        <w:t xml:space="preserve"> from Queensland Government departments. No transactions are individually significant to disclose. </w:t>
      </w:r>
    </w:p>
    <w:p w14:paraId="63943530" w14:textId="1691B2B0" w:rsidR="00ED42BC" w:rsidRDefault="00447615" w:rsidP="00ED42BC">
      <w:pPr>
        <w:spacing w:before="120" w:line="259" w:lineRule="auto"/>
        <w:rPr>
          <w:rFonts w:cs="Arial"/>
          <w:b/>
          <w:sz w:val="18"/>
          <w:szCs w:val="18"/>
        </w:rPr>
      </w:pPr>
      <w:r>
        <w:rPr>
          <w:rFonts w:cs="Arial"/>
          <w:b/>
          <w:sz w:val="18"/>
          <w:szCs w:val="18"/>
        </w:rPr>
        <w:br/>
      </w:r>
      <w:r w:rsidR="00ED42BC">
        <w:rPr>
          <w:rFonts w:cs="Arial"/>
          <w:b/>
          <w:sz w:val="18"/>
          <w:szCs w:val="18"/>
        </w:rPr>
        <w:t>E3</w:t>
      </w:r>
      <w:r w:rsidR="00ED42BC" w:rsidRPr="00196AAA">
        <w:rPr>
          <w:rFonts w:cs="Arial"/>
          <w:b/>
          <w:sz w:val="18"/>
          <w:szCs w:val="18"/>
        </w:rPr>
        <w:t xml:space="preserve"> New Accounting Standards or Change in Accounting Policy</w:t>
      </w:r>
    </w:p>
    <w:p w14:paraId="47C95B7D" w14:textId="77777777" w:rsidR="00ED42BC" w:rsidRPr="004F7DF6" w:rsidRDefault="00ED42BC" w:rsidP="00ED42BC">
      <w:pPr>
        <w:spacing w:before="120" w:line="259" w:lineRule="auto"/>
        <w:rPr>
          <w:rFonts w:cs="Arial"/>
          <w:b/>
          <w:sz w:val="18"/>
          <w:szCs w:val="18"/>
        </w:rPr>
      </w:pPr>
      <w:r w:rsidRPr="004F7DF6">
        <w:rPr>
          <w:rFonts w:cs="Arial"/>
          <w:b/>
          <w:sz w:val="18"/>
          <w:szCs w:val="18"/>
        </w:rPr>
        <w:t>E3-1 Accounting Standards Early Adopted</w:t>
      </w:r>
    </w:p>
    <w:p w14:paraId="0E00D36E" w14:textId="082F3643" w:rsidR="00ED42BC" w:rsidRDefault="00ED42BC" w:rsidP="00ED42BC">
      <w:pPr>
        <w:spacing w:before="120" w:line="259" w:lineRule="auto"/>
        <w:rPr>
          <w:rFonts w:cs="Arial"/>
          <w:sz w:val="16"/>
          <w:szCs w:val="16"/>
        </w:rPr>
      </w:pPr>
      <w:r w:rsidRPr="00B15F77">
        <w:rPr>
          <w:rFonts w:cs="Arial"/>
          <w:sz w:val="16"/>
          <w:szCs w:val="16"/>
        </w:rPr>
        <w:t>No Australian Accounting Standards have been early adopted for 202</w:t>
      </w:r>
      <w:r>
        <w:rPr>
          <w:rFonts w:cs="Arial"/>
          <w:sz w:val="16"/>
          <w:szCs w:val="16"/>
        </w:rPr>
        <w:t>2</w:t>
      </w:r>
      <w:r w:rsidR="000D2264">
        <w:rPr>
          <w:rFonts w:cs="Arial"/>
          <w:sz w:val="16"/>
          <w:szCs w:val="16"/>
        </w:rPr>
        <w:t>–</w:t>
      </w:r>
      <w:r w:rsidRPr="00B15F77">
        <w:rPr>
          <w:rFonts w:cs="Arial"/>
          <w:sz w:val="16"/>
          <w:szCs w:val="16"/>
        </w:rPr>
        <w:t>2</w:t>
      </w:r>
      <w:r>
        <w:rPr>
          <w:rFonts w:cs="Arial"/>
          <w:sz w:val="16"/>
          <w:szCs w:val="16"/>
        </w:rPr>
        <w:t>3</w:t>
      </w:r>
      <w:r w:rsidRPr="00B15F77">
        <w:rPr>
          <w:rFonts w:cs="Arial"/>
          <w:sz w:val="16"/>
          <w:szCs w:val="16"/>
        </w:rPr>
        <w:t xml:space="preserve"> by the Commission.</w:t>
      </w:r>
    </w:p>
    <w:p w14:paraId="4F46ED91" w14:textId="4240E3BF" w:rsidR="00ED42BC" w:rsidRPr="00ED42BC" w:rsidRDefault="00ED42BC" w:rsidP="00ED42BC">
      <w:pPr>
        <w:rPr>
          <w:rFonts w:cs="Arial"/>
          <w:sz w:val="16"/>
          <w:szCs w:val="16"/>
        </w:rPr>
      </w:pPr>
      <w:r w:rsidRPr="00B15F77">
        <w:rPr>
          <w:rFonts w:cs="Arial"/>
          <w:sz w:val="16"/>
          <w:szCs w:val="16"/>
        </w:rPr>
        <w:t>The Commission did not voluntarily change any of its accounting policies during 202</w:t>
      </w:r>
      <w:r>
        <w:rPr>
          <w:rFonts w:cs="Arial"/>
          <w:sz w:val="16"/>
          <w:szCs w:val="16"/>
        </w:rPr>
        <w:t>2</w:t>
      </w:r>
      <w:r w:rsidR="00D347E0">
        <w:rPr>
          <w:rFonts w:cs="Arial"/>
          <w:sz w:val="16"/>
          <w:szCs w:val="16"/>
        </w:rPr>
        <w:t>–</w:t>
      </w:r>
      <w:r w:rsidRPr="00B15F77">
        <w:rPr>
          <w:rFonts w:cs="Arial"/>
          <w:sz w:val="16"/>
          <w:szCs w:val="16"/>
        </w:rPr>
        <w:t>2</w:t>
      </w:r>
      <w:r>
        <w:rPr>
          <w:rFonts w:cs="Arial"/>
          <w:sz w:val="16"/>
          <w:szCs w:val="16"/>
        </w:rPr>
        <w:t>3</w:t>
      </w:r>
      <w:r w:rsidRPr="00B15F77">
        <w:rPr>
          <w:rFonts w:cs="Arial"/>
          <w:sz w:val="16"/>
          <w:szCs w:val="16"/>
        </w:rPr>
        <w:t>.</w:t>
      </w:r>
    </w:p>
    <w:p w14:paraId="6F14C4BD" w14:textId="28C286C1" w:rsidR="00ED42BC" w:rsidRDefault="00ED42BC" w:rsidP="00ED42BC">
      <w:pPr>
        <w:spacing w:before="120" w:line="259" w:lineRule="auto"/>
        <w:rPr>
          <w:rFonts w:cs="Arial"/>
          <w:b/>
          <w:sz w:val="18"/>
          <w:szCs w:val="18"/>
        </w:rPr>
      </w:pPr>
      <w:r>
        <w:rPr>
          <w:rFonts w:cs="Arial"/>
          <w:b/>
          <w:sz w:val="18"/>
          <w:szCs w:val="18"/>
        </w:rPr>
        <w:br/>
      </w:r>
      <w:r w:rsidRPr="004F7DF6">
        <w:rPr>
          <w:rFonts w:cs="Arial"/>
          <w:b/>
          <w:sz w:val="18"/>
          <w:szCs w:val="18"/>
        </w:rPr>
        <w:t>E3-2 Accounting Standards</w:t>
      </w:r>
      <w:r>
        <w:rPr>
          <w:rFonts w:cs="Arial"/>
          <w:b/>
          <w:sz w:val="18"/>
          <w:szCs w:val="18"/>
        </w:rPr>
        <w:t xml:space="preserve"> </w:t>
      </w:r>
      <w:r w:rsidRPr="004F7DF6">
        <w:rPr>
          <w:rFonts w:cs="Arial"/>
          <w:b/>
          <w:sz w:val="18"/>
          <w:szCs w:val="18"/>
        </w:rPr>
        <w:t>Applied for the First Time</w:t>
      </w:r>
      <w:r>
        <w:rPr>
          <w:rFonts w:cs="Arial"/>
          <w:b/>
          <w:sz w:val="18"/>
          <w:szCs w:val="18"/>
        </w:rPr>
        <w:t xml:space="preserve"> and Changes to Policies </w:t>
      </w:r>
    </w:p>
    <w:p w14:paraId="63EB779E" w14:textId="6D351541" w:rsidR="00ED42BC" w:rsidRPr="00ED42BC" w:rsidRDefault="00ED42BC" w:rsidP="00ED42BC">
      <w:pPr>
        <w:spacing w:before="120" w:line="259" w:lineRule="auto"/>
        <w:rPr>
          <w:rFonts w:cs="Arial"/>
          <w:sz w:val="16"/>
          <w:szCs w:val="16"/>
        </w:rPr>
      </w:pPr>
      <w:r w:rsidRPr="00823901">
        <w:rPr>
          <w:rFonts w:cs="Arial"/>
          <w:sz w:val="16"/>
          <w:szCs w:val="16"/>
        </w:rPr>
        <w:t>No new accounting standards</w:t>
      </w:r>
      <w:r>
        <w:rPr>
          <w:rFonts w:cs="Arial"/>
          <w:sz w:val="16"/>
          <w:szCs w:val="16"/>
        </w:rPr>
        <w:t xml:space="preserve">, </w:t>
      </w:r>
      <w:r w:rsidRPr="00823901">
        <w:rPr>
          <w:rFonts w:cs="Arial"/>
          <w:sz w:val="16"/>
          <w:szCs w:val="16"/>
        </w:rPr>
        <w:t>interpretations</w:t>
      </w:r>
      <w:r>
        <w:rPr>
          <w:rFonts w:cs="Arial"/>
          <w:sz w:val="16"/>
          <w:szCs w:val="16"/>
        </w:rPr>
        <w:t xml:space="preserve"> or policies</w:t>
      </w:r>
      <w:r w:rsidRPr="00823901">
        <w:rPr>
          <w:rFonts w:cs="Arial"/>
          <w:sz w:val="16"/>
          <w:szCs w:val="16"/>
        </w:rPr>
        <w:t xml:space="preserve"> were applied to the Commission for the first time in 2022</w:t>
      </w:r>
      <w:r w:rsidR="00D347E0">
        <w:rPr>
          <w:rFonts w:cs="Arial"/>
          <w:sz w:val="16"/>
          <w:szCs w:val="16"/>
        </w:rPr>
        <w:t>–</w:t>
      </w:r>
      <w:r w:rsidRPr="00823901">
        <w:rPr>
          <w:rFonts w:cs="Arial"/>
          <w:sz w:val="16"/>
          <w:szCs w:val="16"/>
        </w:rPr>
        <w:t>23.</w:t>
      </w:r>
    </w:p>
    <w:p w14:paraId="5B58DE09" w14:textId="0D703384" w:rsidR="00ED42BC" w:rsidRPr="00196AAA" w:rsidRDefault="00ED42BC" w:rsidP="00ED42BC">
      <w:pPr>
        <w:spacing w:before="120" w:line="259" w:lineRule="auto"/>
        <w:rPr>
          <w:rFonts w:cs="Arial"/>
          <w:b/>
          <w:sz w:val="18"/>
          <w:szCs w:val="18"/>
        </w:rPr>
      </w:pPr>
      <w:r>
        <w:rPr>
          <w:rFonts w:cs="Arial"/>
          <w:b/>
          <w:sz w:val="18"/>
          <w:szCs w:val="18"/>
        </w:rPr>
        <w:br/>
        <w:t>E4</w:t>
      </w:r>
      <w:r w:rsidRPr="00196AAA">
        <w:rPr>
          <w:rFonts w:cs="Arial"/>
          <w:b/>
          <w:sz w:val="18"/>
          <w:szCs w:val="18"/>
        </w:rPr>
        <w:t xml:space="preserve"> Taxation</w:t>
      </w:r>
    </w:p>
    <w:p w14:paraId="7B4ADFD9" w14:textId="77777777" w:rsidR="00ED42BC" w:rsidRPr="00DE612F" w:rsidRDefault="00ED42BC" w:rsidP="00ED42BC">
      <w:pPr>
        <w:spacing w:before="120" w:line="259" w:lineRule="auto"/>
        <w:rPr>
          <w:rFonts w:eastAsia="Times New Roman" w:cs="Arial"/>
          <w:sz w:val="16"/>
          <w:szCs w:val="16"/>
        </w:rPr>
      </w:pPr>
      <w:r w:rsidRPr="00196AAA">
        <w:rPr>
          <w:rFonts w:cs="Arial"/>
          <w:bCs/>
          <w:sz w:val="16"/>
          <w:szCs w:val="16"/>
        </w:rPr>
        <w:t xml:space="preserve">The Commission is a </w:t>
      </w:r>
      <w:proofErr w:type="gramStart"/>
      <w:r w:rsidRPr="00196AAA">
        <w:rPr>
          <w:rFonts w:cs="Arial"/>
          <w:bCs/>
          <w:sz w:val="16"/>
          <w:szCs w:val="16"/>
        </w:rPr>
        <w:t>State</w:t>
      </w:r>
      <w:proofErr w:type="gramEnd"/>
      <w:r w:rsidRPr="00196AAA">
        <w:rPr>
          <w:rFonts w:cs="Arial"/>
          <w:bCs/>
          <w:sz w:val="16"/>
          <w:szCs w:val="16"/>
        </w:rPr>
        <w:t xml:space="preserve"> body as defined under </w:t>
      </w:r>
      <w:r w:rsidRPr="00B15F77">
        <w:rPr>
          <w:rFonts w:cs="Arial"/>
          <w:bCs/>
          <w:sz w:val="16"/>
          <w:szCs w:val="16"/>
        </w:rPr>
        <w:t xml:space="preserve">the </w:t>
      </w:r>
      <w:r w:rsidRPr="00C307EA">
        <w:rPr>
          <w:rFonts w:cs="Arial"/>
          <w:bCs/>
          <w:i/>
          <w:iCs/>
          <w:sz w:val="16"/>
          <w:szCs w:val="16"/>
        </w:rPr>
        <w:t>Income Tax Assessment Act 19</w:t>
      </w:r>
      <w:r>
        <w:rPr>
          <w:rFonts w:cs="Arial"/>
          <w:bCs/>
          <w:i/>
          <w:iCs/>
          <w:sz w:val="16"/>
          <w:szCs w:val="16"/>
        </w:rPr>
        <w:t>36</w:t>
      </w:r>
      <w:r w:rsidRPr="00196AAA">
        <w:rPr>
          <w:rFonts w:cs="Arial"/>
          <w:bCs/>
          <w:sz w:val="16"/>
          <w:szCs w:val="16"/>
        </w:rPr>
        <w:t xml:space="preserve"> and is exempt from Commonwealth taxation with the exception of Fringe Benefits Tax (FBT) and Goods and Services Tax (GST).  FBT and GST are the only taxes accounted for by the Commission. Any GST credits receivable from, or GST payable to the ATO, are recognised in the </w:t>
      </w:r>
      <w:r w:rsidRPr="00DE612F">
        <w:rPr>
          <w:rFonts w:eastAsia="Times New Roman" w:cs="Arial"/>
          <w:sz w:val="16"/>
          <w:szCs w:val="16"/>
        </w:rPr>
        <w:t>Statement of Financial Position (refer Note C2).</w:t>
      </w:r>
    </w:p>
    <w:p w14:paraId="027A8D35" w14:textId="77777777" w:rsidR="00ED42BC" w:rsidRDefault="00ED42BC" w:rsidP="00ED42BC">
      <w:pPr>
        <w:spacing w:beforeLines="120" w:before="288" w:line="259" w:lineRule="auto"/>
        <w:rPr>
          <w:rFonts w:cs="Arial"/>
          <w:b/>
          <w:sz w:val="18"/>
          <w:szCs w:val="18"/>
        </w:rPr>
      </w:pPr>
      <w:r w:rsidRPr="00EA090F">
        <w:rPr>
          <w:rFonts w:cs="Arial"/>
          <w:b/>
          <w:sz w:val="18"/>
          <w:szCs w:val="18"/>
        </w:rPr>
        <w:t>E5 Climate Risk Disclosur</w:t>
      </w:r>
      <w:r>
        <w:rPr>
          <w:rFonts w:cs="Arial"/>
          <w:b/>
          <w:sz w:val="18"/>
          <w:szCs w:val="18"/>
        </w:rPr>
        <w:t>e</w:t>
      </w:r>
    </w:p>
    <w:p w14:paraId="23298B67" w14:textId="1F18951B" w:rsidR="00ED42BC" w:rsidRPr="00ED42BC" w:rsidRDefault="00ED42BC" w:rsidP="00ED42BC">
      <w:pPr>
        <w:spacing w:before="120" w:line="259" w:lineRule="auto"/>
        <w:rPr>
          <w:rFonts w:cs="Arial"/>
          <w:b/>
          <w:sz w:val="18"/>
          <w:szCs w:val="18"/>
        </w:rPr>
      </w:pPr>
      <w:r w:rsidRPr="00805E35">
        <w:rPr>
          <w:rFonts w:cs="Arial"/>
          <w:b/>
          <w:sz w:val="18"/>
          <w:szCs w:val="18"/>
        </w:rPr>
        <w:t>Whole-of Government Climate Reporting</w:t>
      </w:r>
    </w:p>
    <w:p w14:paraId="0BD5A0C6" w14:textId="77777777" w:rsidR="00ED42BC" w:rsidRPr="00805E35" w:rsidRDefault="00ED42BC" w:rsidP="00ED42BC">
      <w:pPr>
        <w:pStyle w:val="BodyText"/>
        <w:rPr>
          <w:rFonts w:cs="Arial"/>
          <w:bCs/>
          <w:sz w:val="16"/>
          <w:szCs w:val="16"/>
        </w:rPr>
      </w:pPr>
      <w:r w:rsidRPr="00805E35">
        <w:rPr>
          <w:rFonts w:cs="Arial"/>
          <w:bCs/>
          <w:sz w:val="16"/>
          <w:szCs w:val="16"/>
        </w:rPr>
        <w:t xml:space="preserve">The State of Queensland, as the ultimate parent of the department, has published a wide range of information and resources on climate change including the following whole-of-Government publications in relation to climate risk, </w:t>
      </w:r>
      <w:proofErr w:type="gramStart"/>
      <w:r w:rsidRPr="00805E35">
        <w:rPr>
          <w:rFonts w:cs="Arial"/>
          <w:bCs/>
          <w:sz w:val="16"/>
          <w:szCs w:val="16"/>
        </w:rPr>
        <w:t>strategy</w:t>
      </w:r>
      <w:proofErr w:type="gramEnd"/>
      <w:r w:rsidRPr="00805E35">
        <w:rPr>
          <w:rFonts w:cs="Arial"/>
          <w:bCs/>
          <w:sz w:val="16"/>
          <w:szCs w:val="16"/>
        </w:rPr>
        <w:t xml:space="preserve"> and action:</w:t>
      </w:r>
    </w:p>
    <w:p w14:paraId="1D8581CE" w14:textId="77777777" w:rsidR="00ED42BC" w:rsidRPr="005649E2" w:rsidRDefault="00ED42BC" w:rsidP="00ED42BC">
      <w:pPr>
        <w:pStyle w:val="ListParagraph"/>
        <w:numPr>
          <w:ilvl w:val="1"/>
          <w:numId w:val="18"/>
        </w:numPr>
        <w:tabs>
          <w:tab w:val="left" w:pos="284"/>
        </w:tabs>
        <w:spacing w:before="120" w:after="0" w:line="259" w:lineRule="auto"/>
        <w:ind w:left="0" w:firstLine="0"/>
        <w:rPr>
          <w:rFonts w:cs="Arial"/>
          <w:bCs/>
          <w:sz w:val="16"/>
          <w:szCs w:val="16"/>
        </w:rPr>
      </w:pPr>
      <w:r w:rsidRPr="005649E2">
        <w:rPr>
          <w:rFonts w:cs="Arial"/>
          <w:bCs/>
          <w:sz w:val="16"/>
          <w:szCs w:val="16"/>
        </w:rPr>
        <w:t>Climate Adaptation Strategy</w:t>
      </w:r>
    </w:p>
    <w:p w14:paraId="25D18651" w14:textId="77777777" w:rsidR="00ED42BC" w:rsidRPr="005649E2" w:rsidRDefault="00ED42BC" w:rsidP="00ED42BC">
      <w:pPr>
        <w:pStyle w:val="ListParagraph"/>
        <w:numPr>
          <w:ilvl w:val="1"/>
          <w:numId w:val="18"/>
        </w:numPr>
        <w:tabs>
          <w:tab w:val="left" w:pos="284"/>
        </w:tabs>
        <w:spacing w:before="120" w:after="0" w:line="259" w:lineRule="auto"/>
        <w:ind w:left="0" w:firstLine="0"/>
        <w:rPr>
          <w:rFonts w:cs="Arial"/>
          <w:bCs/>
          <w:sz w:val="16"/>
          <w:szCs w:val="16"/>
        </w:rPr>
      </w:pPr>
      <w:r w:rsidRPr="005649E2">
        <w:rPr>
          <w:rFonts w:cs="Arial"/>
          <w:bCs/>
          <w:sz w:val="16"/>
          <w:szCs w:val="16"/>
        </w:rPr>
        <w:t>Climate Transition Strategy</w:t>
      </w:r>
    </w:p>
    <w:p w14:paraId="721A9A07" w14:textId="77777777" w:rsidR="00ED42BC" w:rsidRPr="005649E2" w:rsidRDefault="00ED42BC" w:rsidP="00ED42BC">
      <w:pPr>
        <w:pStyle w:val="ListParagraph"/>
        <w:numPr>
          <w:ilvl w:val="1"/>
          <w:numId w:val="18"/>
        </w:numPr>
        <w:tabs>
          <w:tab w:val="left" w:pos="284"/>
        </w:tabs>
        <w:spacing w:before="120" w:after="0" w:line="259" w:lineRule="auto"/>
        <w:ind w:left="0" w:firstLine="0"/>
        <w:rPr>
          <w:rFonts w:cs="Arial"/>
          <w:bCs/>
          <w:sz w:val="16"/>
          <w:szCs w:val="16"/>
        </w:rPr>
      </w:pPr>
      <w:r w:rsidRPr="005649E2">
        <w:rPr>
          <w:rFonts w:cs="Arial"/>
          <w:bCs/>
          <w:sz w:val="16"/>
          <w:szCs w:val="16"/>
        </w:rPr>
        <w:t xml:space="preserve">Climate Action Plan 2030 </w:t>
      </w:r>
    </w:p>
    <w:p w14:paraId="25AF166A" w14:textId="74834BA2" w:rsidR="00ED42BC" w:rsidRPr="00ED42BC" w:rsidRDefault="00ED42BC" w:rsidP="00ED42BC">
      <w:pPr>
        <w:pStyle w:val="ListParagraph"/>
        <w:numPr>
          <w:ilvl w:val="1"/>
          <w:numId w:val="18"/>
        </w:numPr>
        <w:tabs>
          <w:tab w:val="left" w:pos="284"/>
        </w:tabs>
        <w:spacing w:before="120" w:after="0" w:line="259" w:lineRule="auto"/>
        <w:ind w:left="0" w:firstLine="0"/>
        <w:rPr>
          <w:rFonts w:cs="Arial"/>
          <w:bCs/>
          <w:sz w:val="16"/>
          <w:szCs w:val="16"/>
        </w:rPr>
      </w:pPr>
      <w:r w:rsidRPr="005649E2">
        <w:rPr>
          <w:rFonts w:cs="Arial"/>
          <w:bCs/>
          <w:sz w:val="16"/>
          <w:szCs w:val="16"/>
        </w:rPr>
        <w:t xml:space="preserve">Queensland Sustainability Report </w:t>
      </w:r>
    </w:p>
    <w:p w14:paraId="48FBA54B" w14:textId="6BF97977" w:rsidR="00ED42BC" w:rsidRPr="00805E35" w:rsidRDefault="00ED42BC" w:rsidP="00ED42BC">
      <w:pPr>
        <w:spacing w:before="1"/>
        <w:rPr>
          <w:rFonts w:cs="Arial"/>
          <w:b/>
          <w:sz w:val="18"/>
          <w:szCs w:val="18"/>
        </w:rPr>
      </w:pPr>
      <w:r>
        <w:rPr>
          <w:rFonts w:cs="Arial"/>
          <w:b/>
          <w:sz w:val="18"/>
          <w:szCs w:val="18"/>
        </w:rPr>
        <w:br/>
      </w:r>
      <w:r w:rsidRPr="00805E35">
        <w:rPr>
          <w:rFonts w:cs="Arial"/>
          <w:b/>
          <w:sz w:val="18"/>
          <w:szCs w:val="18"/>
        </w:rPr>
        <w:t>Climate Risk Assessment</w:t>
      </w:r>
    </w:p>
    <w:p w14:paraId="4C867192" w14:textId="7DD3C042" w:rsidR="00ED42BC" w:rsidRDefault="003F194D" w:rsidP="003F194D">
      <w:pPr>
        <w:spacing w:before="120" w:line="259" w:lineRule="auto"/>
        <w:rPr>
          <w:rFonts w:cs="Arial"/>
          <w:sz w:val="16"/>
          <w:szCs w:val="16"/>
        </w:rPr>
      </w:pPr>
      <w:r w:rsidRPr="00EA090F">
        <w:rPr>
          <w:rFonts w:cs="Arial"/>
          <w:sz w:val="16"/>
          <w:szCs w:val="16"/>
        </w:rPr>
        <w:t>The Commission has not identified any material climate related risks relevant to the financial report at the reporting date, however, constantly monitors the emergence of such risks under the Queensland Government’s Climate Transition Strategy.</w:t>
      </w:r>
      <w:r w:rsidRPr="00196AAA">
        <w:rPr>
          <w:rFonts w:cs="Arial"/>
          <w:sz w:val="16"/>
          <w:szCs w:val="16"/>
        </w:rPr>
        <w:t xml:space="preserve"> </w:t>
      </w:r>
      <w:r w:rsidR="00ED42BC">
        <w:rPr>
          <w:rFonts w:cs="Arial"/>
          <w:sz w:val="16"/>
          <w:szCs w:val="16"/>
        </w:rPr>
        <w:br w:type="page"/>
      </w:r>
    </w:p>
    <w:p w14:paraId="31C82A4D" w14:textId="77777777" w:rsidR="00E40248" w:rsidRPr="004D0BED" w:rsidRDefault="00E40248" w:rsidP="00B61561">
      <w:pPr>
        <w:pStyle w:val="PSCHeading2"/>
        <w:rPr>
          <w:lang w:eastAsia="en-AU"/>
        </w:rPr>
      </w:pPr>
      <w:bookmarkStart w:id="525" w:name="_Toc145926996"/>
      <w:r w:rsidRPr="004D0BED">
        <w:rPr>
          <w:lang w:eastAsia="en-AU"/>
        </w:rPr>
        <w:lastRenderedPageBreak/>
        <w:t>Certificate of the Public Service Commission</w:t>
      </w:r>
      <w:bookmarkEnd w:id="525"/>
    </w:p>
    <w:p w14:paraId="670B9374" w14:textId="77777777" w:rsidR="00E40248" w:rsidRPr="00592257" w:rsidRDefault="00E40248" w:rsidP="00E40248">
      <w:pPr>
        <w:spacing w:before="120" w:after="0" w:line="259" w:lineRule="auto"/>
        <w:rPr>
          <w:rFonts w:eastAsia="SimSun" w:cs="Arial"/>
          <w:bCs/>
          <w:sz w:val="16"/>
          <w:szCs w:val="16"/>
          <w:lang w:eastAsia="en-AU"/>
        </w:rPr>
      </w:pPr>
    </w:p>
    <w:p w14:paraId="4A3D11F7" w14:textId="77777777" w:rsidR="00A6088A" w:rsidRPr="00196AAA" w:rsidRDefault="00A6088A" w:rsidP="00A6088A">
      <w:pPr>
        <w:spacing w:before="120" w:line="259" w:lineRule="auto"/>
        <w:ind w:left="142"/>
        <w:rPr>
          <w:rFonts w:cs="Arial"/>
          <w:bCs/>
          <w:sz w:val="16"/>
          <w:szCs w:val="16"/>
        </w:rPr>
      </w:pPr>
      <w:r w:rsidRPr="00196AAA">
        <w:rPr>
          <w:rFonts w:cs="Arial"/>
          <w:bCs/>
          <w:sz w:val="16"/>
          <w:szCs w:val="16"/>
        </w:rPr>
        <w:t xml:space="preserve">These general-purpose financial statements have been prepared pursuant to section 62(1) of the </w:t>
      </w:r>
      <w:r w:rsidRPr="00196AAA">
        <w:rPr>
          <w:rFonts w:cs="Arial"/>
          <w:bCs/>
          <w:i/>
          <w:sz w:val="16"/>
          <w:szCs w:val="16"/>
        </w:rPr>
        <w:t>Financial Accountability Act 2009</w:t>
      </w:r>
      <w:r w:rsidRPr="00196AAA">
        <w:rPr>
          <w:rFonts w:cs="Arial"/>
          <w:bCs/>
          <w:sz w:val="16"/>
          <w:szCs w:val="16"/>
        </w:rPr>
        <w:t xml:space="preserve"> (the Act), section 38 of the </w:t>
      </w:r>
      <w:r w:rsidRPr="00196AAA">
        <w:rPr>
          <w:rFonts w:cs="Arial"/>
          <w:bCs/>
          <w:i/>
          <w:sz w:val="16"/>
          <w:szCs w:val="16"/>
        </w:rPr>
        <w:t>Financial and Performance Management Standard 2019</w:t>
      </w:r>
      <w:r w:rsidRPr="00196AAA">
        <w:rPr>
          <w:rFonts w:cs="Arial"/>
          <w:bCs/>
          <w:sz w:val="16"/>
          <w:szCs w:val="16"/>
        </w:rPr>
        <w:t xml:space="preserve"> and other prescribed requirements. In accordance with section 62(1)(b) of the Act we certify that in our opinion:</w:t>
      </w:r>
    </w:p>
    <w:p w14:paraId="05BA77F7" w14:textId="77777777" w:rsidR="00884D21" w:rsidRPr="00196AAA" w:rsidRDefault="00E40248" w:rsidP="00884D21">
      <w:pPr>
        <w:pStyle w:val="ListParagraph"/>
        <w:numPr>
          <w:ilvl w:val="0"/>
          <w:numId w:val="19"/>
        </w:numPr>
        <w:spacing w:before="120" w:after="0" w:line="259" w:lineRule="auto"/>
        <w:ind w:left="567"/>
        <w:rPr>
          <w:rFonts w:cs="Arial"/>
          <w:bCs/>
          <w:sz w:val="16"/>
          <w:szCs w:val="16"/>
        </w:rPr>
      </w:pPr>
      <w:r w:rsidRPr="00592257">
        <w:rPr>
          <w:rFonts w:eastAsia="SimSun" w:cs="Arial"/>
          <w:bCs/>
          <w:sz w:val="16"/>
          <w:szCs w:val="16"/>
          <w:lang w:eastAsia="en-AU"/>
        </w:rPr>
        <w:t xml:space="preserve"> </w:t>
      </w:r>
      <w:r w:rsidR="00884D21" w:rsidRPr="00196AAA">
        <w:rPr>
          <w:rFonts w:cs="Arial"/>
          <w:bCs/>
          <w:sz w:val="16"/>
          <w:szCs w:val="16"/>
        </w:rPr>
        <w:t>the prescribed requirements for establishing and keeping the accounts have been complied with in all material respects; and</w:t>
      </w:r>
    </w:p>
    <w:p w14:paraId="5D98E95D" w14:textId="77777777" w:rsidR="00884D21" w:rsidRPr="00196AAA" w:rsidRDefault="00884D21" w:rsidP="00884D21">
      <w:pPr>
        <w:pStyle w:val="ListParagraph"/>
        <w:spacing w:before="120" w:line="259" w:lineRule="auto"/>
        <w:ind w:left="567"/>
        <w:rPr>
          <w:rFonts w:cs="Arial"/>
          <w:bCs/>
          <w:sz w:val="16"/>
          <w:szCs w:val="16"/>
        </w:rPr>
      </w:pPr>
    </w:p>
    <w:p w14:paraId="4E3D7C30" w14:textId="77777777" w:rsidR="00884D21" w:rsidRPr="00196AAA" w:rsidRDefault="00884D21" w:rsidP="00884D21">
      <w:pPr>
        <w:pStyle w:val="ListParagraph"/>
        <w:numPr>
          <w:ilvl w:val="0"/>
          <w:numId w:val="19"/>
        </w:numPr>
        <w:spacing w:before="120" w:after="0" w:line="259" w:lineRule="auto"/>
        <w:ind w:left="567"/>
        <w:rPr>
          <w:rFonts w:cs="Arial"/>
          <w:bCs/>
          <w:sz w:val="16"/>
          <w:szCs w:val="16"/>
        </w:rPr>
      </w:pPr>
      <w:r w:rsidRPr="00196AAA">
        <w:rPr>
          <w:rFonts w:cs="Arial"/>
          <w:bCs/>
          <w:sz w:val="16"/>
          <w:szCs w:val="16"/>
        </w:rPr>
        <w:t xml:space="preserve"> the financial statements have been drawn up to present a true and fair view, in accordance with prescribed accounting standards, of the transactions of the Public Se</w:t>
      </w:r>
      <w:r>
        <w:rPr>
          <w:rFonts w:cs="Arial"/>
          <w:bCs/>
          <w:sz w:val="16"/>
          <w:szCs w:val="16"/>
        </w:rPr>
        <w:t>ctor</w:t>
      </w:r>
      <w:r w:rsidRPr="00196AAA">
        <w:rPr>
          <w:rFonts w:cs="Arial"/>
          <w:bCs/>
          <w:sz w:val="16"/>
          <w:szCs w:val="16"/>
        </w:rPr>
        <w:t xml:space="preserve"> Commission for the financial year ended 30 June 202</w:t>
      </w:r>
      <w:r>
        <w:rPr>
          <w:rFonts w:cs="Arial"/>
          <w:bCs/>
          <w:sz w:val="16"/>
          <w:szCs w:val="16"/>
        </w:rPr>
        <w:t>3</w:t>
      </w:r>
      <w:r w:rsidRPr="00196AAA">
        <w:rPr>
          <w:rFonts w:cs="Arial"/>
          <w:bCs/>
          <w:sz w:val="16"/>
          <w:szCs w:val="16"/>
        </w:rPr>
        <w:t xml:space="preserve"> and of the financial position of the Commission at the end of that year.</w:t>
      </w:r>
    </w:p>
    <w:p w14:paraId="4CE353B7" w14:textId="4B0DFE4B" w:rsidR="00E40248" w:rsidRPr="00B3655F" w:rsidRDefault="00B3655F" w:rsidP="00B3655F">
      <w:pPr>
        <w:spacing w:before="120" w:line="259" w:lineRule="auto"/>
        <w:ind w:left="142"/>
        <w:rPr>
          <w:rFonts w:cs="Arial"/>
          <w:bCs/>
          <w:sz w:val="16"/>
          <w:szCs w:val="16"/>
        </w:rPr>
      </w:pPr>
      <w:r w:rsidRPr="00196AAA">
        <w:rPr>
          <w:rFonts w:cs="Arial"/>
          <w:bCs/>
          <w:sz w:val="16"/>
          <w:szCs w:val="16"/>
        </w:rPr>
        <w:t xml:space="preserve">The </w:t>
      </w:r>
      <w:r>
        <w:rPr>
          <w:rFonts w:cs="Arial"/>
          <w:bCs/>
          <w:sz w:val="16"/>
          <w:szCs w:val="16"/>
        </w:rPr>
        <w:t>Public Sector Commissioner</w:t>
      </w:r>
      <w:r w:rsidRPr="00196AAA">
        <w:rPr>
          <w:rFonts w:cs="Arial"/>
          <w:bCs/>
          <w:sz w:val="16"/>
          <w:szCs w:val="16"/>
        </w:rPr>
        <w:t xml:space="preserve">, as the Accountable Officer of the Commission, acknowledges responsibility under section 7 and section 11 of the </w:t>
      </w:r>
      <w:r w:rsidRPr="00196AAA">
        <w:rPr>
          <w:rFonts w:cs="Arial"/>
          <w:bCs/>
          <w:i/>
          <w:sz w:val="16"/>
          <w:szCs w:val="16"/>
        </w:rPr>
        <w:t>Financial and Performance Management Standard 2019</w:t>
      </w:r>
      <w:r w:rsidRPr="00196AAA">
        <w:rPr>
          <w:rFonts w:cs="Arial"/>
          <w:bCs/>
          <w:sz w:val="16"/>
          <w:szCs w:val="16"/>
        </w:rPr>
        <w:t xml:space="preserve"> for the establishment and maintenance, in all material respects, of an appropriate and effective system of internal control</w:t>
      </w:r>
      <w:r>
        <w:rPr>
          <w:rFonts w:cs="Arial"/>
          <w:bCs/>
          <w:sz w:val="16"/>
          <w:szCs w:val="16"/>
        </w:rPr>
        <w:t>s</w:t>
      </w:r>
      <w:r w:rsidRPr="00196AAA">
        <w:rPr>
          <w:rFonts w:cs="Arial"/>
          <w:bCs/>
          <w:sz w:val="16"/>
          <w:szCs w:val="16"/>
        </w:rPr>
        <w:t xml:space="preserve"> and risk management processes with respect to financial reporting throughout the reporting period.</w:t>
      </w:r>
    </w:p>
    <w:p w14:paraId="480F794F" w14:textId="1BE5EBDA" w:rsidR="00E40248" w:rsidRDefault="00E40248" w:rsidP="00E40248">
      <w:pPr>
        <w:spacing w:before="120" w:after="0" w:line="259" w:lineRule="auto"/>
        <w:ind w:left="142"/>
        <w:rPr>
          <w:rFonts w:eastAsia="SimSun" w:cs="Arial"/>
          <w:bCs/>
          <w:sz w:val="16"/>
          <w:szCs w:val="16"/>
          <w:lang w:eastAsia="en-AU"/>
        </w:rPr>
      </w:pPr>
    </w:p>
    <w:p w14:paraId="3421040F" w14:textId="77777777" w:rsidR="00142C12" w:rsidRPr="00592257" w:rsidRDefault="00142C12" w:rsidP="00E40248">
      <w:pPr>
        <w:spacing w:before="120" w:after="0" w:line="259" w:lineRule="auto"/>
        <w:ind w:left="142"/>
        <w:rPr>
          <w:rFonts w:eastAsia="SimSun" w:cs="Arial"/>
          <w:bCs/>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5"/>
      </w:tblGrid>
      <w:tr w:rsidR="00E40248" w:rsidRPr="007908EB" w14:paraId="4E2A8EA5" w14:textId="77777777" w:rsidTr="009C0767">
        <w:tc>
          <w:tcPr>
            <w:tcW w:w="4576" w:type="dxa"/>
            <w:vAlign w:val="center"/>
          </w:tcPr>
          <w:p w14:paraId="14AD9FC6" w14:textId="2A0AFA4D" w:rsidR="00E40248" w:rsidRPr="007908EB" w:rsidRDefault="009C0767" w:rsidP="009C0767">
            <w:pPr>
              <w:spacing w:before="120" w:line="259" w:lineRule="auto"/>
              <w:rPr>
                <w:rFonts w:eastAsia="SimSun" w:cs="Arial"/>
                <w:bCs/>
                <w:sz w:val="16"/>
                <w:szCs w:val="16"/>
                <w:lang w:eastAsia="en-AU"/>
              </w:rPr>
            </w:pPr>
            <w:r>
              <w:rPr>
                <w:noProof/>
              </w:rPr>
              <w:drawing>
                <wp:inline distT="0" distB="0" distL="0" distR="0" wp14:anchorId="02312CC0" wp14:editId="00BC2BD1">
                  <wp:extent cx="2049145" cy="645238"/>
                  <wp:effectExtent l="0" t="0" r="8255" b="2540"/>
                  <wp:docPr id="52" name="Picture 52" descr="Signature of David Mackie, Public Sector Commissioner, dated 25 August 202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descr="Signature of David Mackie, Public Sector Commissioner, dated 25 August 2023.&#10;"/>
                          <pic:cNvPicPr/>
                        </pic:nvPicPr>
                        <pic:blipFill rotWithShape="1">
                          <a:blip r:embed="rId63" cstate="print"/>
                          <a:srcRect t="1706" b="-1"/>
                          <a:stretch/>
                        </pic:blipFill>
                        <pic:spPr bwMode="auto">
                          <a:xfrm>
                            <a:off x="0" y="0"/>
                            <a:ext cx="2057255" cy="647792"/>
                          </a:xfrm>
                          <a:prstGeom prst="rect">
                            <a:avLst/>
                          </a:prstGeom>
                          <a:ln>
                            <a:noFill/>
                          </a:ln>
                          <a:extLst>
                            <a:ext uri="{53640926-AAD7-44D8-BBD7-CCE9431645EC}">
                              <a14:shadowObscured xmlns:a14="http://schemas.microsoft.com/office/drawing/2010/main"/>
                            </a:ext>
                          </a:extLst>
                        </pic:spPr>
                      </pic:pic>
                    </a:graphicData>
                  </a:graphic>
                </wp:inline>
              </w:drawing>
            </w:r>
          </w:p>
        </w:tc>
        <w:tc>
          <w:tcPr>
            <w:tcW w:w="4575" w:type="dxa"/>
            <w:vAlign w:val="center"/>
          </w:tcPr>
          <w:p w14:paraId="63D71AC3" w14:textId="77777777" w:rsidR="00E40248" w:rsidRPr="007908EB" w:rsidRDefault="00E40248" w:rsidP="009C0767">
            <w:pPr>
              <w:spacing w:before="120" w:line="259" w:lineRule="auto"/>
              <w:rPr>
                <w:rFonts w:eastAsia="SimSun" w:cs="Arial"/>
                <w:bCs/>
                <w:sz w:val="16"/>
                <w:szCs w:val="16"/>
                <w:lang w:eastAsia="en-AU"/>
              </w:rPr>
            </w:pPr>
            <w:r>
              <w:rPr>
                <w:rFonts w:eastAsia="SimSun" w:cs="Arial"/>
                <w:bCs/>
                <w:noProof/>
                <w:sz w:val="16"/>
                <w:szCs w:val="16"/>
                <w:lang w:eastAsia="en-AU"/>
              </w:rPr>
              <w:drawing>
                <wp:inline distT="0" distB="0" distL="0" distR="0" wp14:anchorId="00E9D631" wp14:editId="2761EC20">
                  <wp:extent cx="1765300" cy="1143000"/>
                  <wp:effectExtent l="0" t="0" r="0" b="0"/>
                  <wp:docPr id="84" name="Picture 84" descr="Signature of Michael Phillips CPA, Chief Finance Officer, dated 25 August 2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Signature of Michael Phillips CPA, Chief Finance Officer, dated 25 August 2023&#10;"/>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765300" cy="1143000"/>
                          </a:xfrm>
                          <a:prstGeom prst="rect">
                            <a:avLst/>
                          </a:prstGeom>
                        </pic:spPr>
                      </pic:pic>
                    </a:graphicData>
                  </a:graphic>
                </wp:inline>
              </w:drawing>
            </w:r>
          </w:p>
        </w:tc>
      </w:tr>
      <w:tr w:rsidR="00E40248" w:rsidRPr="007908EB" w14:paraId="1683989B" w14:textId="77777777">
        <w:tc>
          <w:tcPr>
            <w:tcW w:w="4576" w:type="dxa"/>
          </w:tcPr>
          <w:p w14:paraId="51AF27AF" w14:textId="2859BA5E" w:rsidR="00E40248" w:rsidRDefault="00E40248" w:rsidP="003661A7">
            <w:pPr>
              <w:rPr>
                <w:lang w:eastAsia="en-AU"/>
              </w:rPr>
            </w:pPr>
            <w:r>
              <w:rPr>
                <w:lang w:eastAsia="en-AU"/>
              </w:rPr>
              <w:t>David Mackie</w:t>
            </w:r>
          </w:p>
          <w:p w14:paraId="479232F3" w14:textId="14E4A243" w:rsidR="00E40248" w:rsidRDefault="00E40248" w:rsidP="003661A7">
            <w:pPr>
              <w:rPr>
                <w:lang w:eastAsia="en-AU"/>
              </w:rPr>
            </w:pPr>
            <w:r>
              <w:rPr>
                <w:lang w:eastAsia="en-AU"/>
              </w:rPr>
              <w:t>Public Sector Commissioner</w:t>
            </w:r>
          </w:p>
          <w:p w14:paraId="4EB96DF7" w14:textId="143A9A0E" w:rsidR="00E40248" w:rsidRPr="007908EB" w:rsidRDefault="003A38C8" w:rsidP="003661A7">
            <w:pPr>
              <w:rPr>
                <w:lang w:eastAsia="en-AU"/>
              </w:rPr>
            </w:pPr>
            <w:r>
              <w:rPr>
                <w:lang w:eastAsia="en-AU"/>
              </w:rPr>
              <w:t>25 August 2023</w:t>
            </w:r>
          </w:p>
        </w:tc>
        <w:tc>
          <w:tcPr>
            <w:tcW w:w="4575" w:type="dxa"/>
          </w:tcPr>
          <w:p w14:paraId="3ABC86D4" w14:textId="77777777" w:rsidR="00E40248" w:rsidRDefault="00E40248" w:rsidP="003661A7">
            <w:pPr>
              <w:rPr>
                <w:lang w:eastAsia="en-AU"/>
              </w:rPr>
            </w:pPr>
            <w:r w:rsidRPr="00592257">
              <w:rPr>
                <w:lang w:eastAsia="en-AU"/>
              </w:rPr>
              <w:t xml:space="preserve">Michael Phillips CPA </w:t>
            </w:r>
          </w:p>
          <w:p w14:paraId="6D8D54A5" w14:textId="77777777" w:rsidR="00E40248" w:rsidRDefault="00E40248" w:rsidP="003661A7">
            <w:pPr>
              <w:rPr>
                <w:lang w:eastAsia="en-AU"/>
              </w:rPr>
            </w:pPr>
            <w:r w:rsidRPr="00592257">
              <w:rPr>
                <w:lang w:eastAsia="en-AU"/>
              </w:rPr>
              <w:t xml:space="preserve">Chief Finance Officer </w:t>
            </w:r>
          </w:p>
          <w:p w14:paraId="61F531C7" w14:textId="56B9AE9B" w:rsidR="00E40248" w:rsidRPr="007908EB" w:rsidRDefault="003A38C8" w:rsidP="003661A7">
            <w:pPr>
              <w:rPr>
                <w:lang w:eastAsia="en-AU"/>
              </w:rPr>
            </w:pPr>
            <w:r>
              <w:rPr>
                <w:lang w:eastAsia="en-AU"/>
              </w:rPr>
              <w:t>25 August 2023</w:t>
            </w:r>
          </w:p>
        </w:tc>
      </w:tr>
    </w:tbl>
    <w:p w14:paraId="518228B5" w14:textId="77777777" w:rsidR="00E40248" w:rsidRPr="00592257" w:rsidRDefault="00E40248" w:rsidP="003661A7">
      <w:pPr>
        <w:rPr>
          <w:lang w:eastAsia="en-AU"/>
        </w:rPr>
      </w:pPr>
    </w:p>
    <w:p w14:paraId="09607CA7" w14:textId="77777777" w:rsidR="00E40248" w:rsidRPr="00592257" w:rsidRDefault="00E40248" w:rsidP="003661A7">
      <w:pPr>
        <w:rPr>
          <w:lang w:eastAsia="en-AU"/>
        </w:rPr>
      </w:pPr>
    </w:p>
    <w:p w14:paraId="44249741" w14:textId="77777777" w:rsidR="00ED42BC" w:rsidRPr="00447615" w:rsidRDefault="00ED42BC" w:rsidP="003661A7"/>
    <w:p w14:paraId="7D7B3EB6" w14:textId="56096F91" w:rsidR="003474DE" w:rsidRDefault="003474DE" w:rsidP="003661A7">
      <w:pPr>
        <w:rPr>
          <w:lang w:eastAsia="en-AU"/>
        </w:rPr>
      </w:pPr>
      <w:r>
        <w:rPr>
          <w:lang w:eastAsia="en-AU"/>
        </w:rPr>
        <w:br w:type="page"/>
      </w:r>
    </w:p>
    <w:p w14:paraId="2A71E485" w14:textId="06725CE4" w:rsidR="006E177F" w:rsidRPr="006E177F" w:rsidRDefault="005B5FDE" w:rsidP="002E1CAF">
      <w:pPr>
        <w:pStyle w:val="PSCHeading1"/>
        <w:rPr>
          <w:lang w:eastAsia="en-AU"/>
        </w:rPr>
      </w:pPr>
      <w:bookmarkStart w:id="526" w:name="_Toc145926997"/>
      <w:r>
        <w:rPr>
          <w:noProof/>
        </w:rPr>
        <w:lastRenderedPageBreak/>
        <w:drawing>
          <wp:anchor distT="0" distB="107950" distL="114300" distR="114300" simplePos="0" relativeHeight="251658249" behindDoc="0" locked="0" layoutInCell="1" allowOverlap="1" wp14:anchorId="26E99DA2" wp14:editId="0905D5DD">
            <wp:simplePos x="0" y="0"/>
            <wp:positionH relativeFrom="margin">
              <wp:posOffset>-2540</wp:posOffset>
            </wp:positionH>
            <wp:positionV relativeFrom="page">
              <wp:posOffset>304800</wp:posOffset>
            </wp:positionV>
            <wp:extent cx="1684800" cy="612000"/>
            <wp:effectExtent l="0" t="0" r="0" b="0"/>
            <wp:wrapTopAndBottom/>
            <wp:docPr id="56" name="Picture 56" descr="Queensland Audit Off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Picture 56" descr="Queensland Audit Office logo"/>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684800" cy="612000"/>
                    </a:xfrm>
                    <a:prstGeom prst="rect">
                      <a:avLst/>
                    </a:prstGeom>
                  </pic:spPr>
                </pic:pic>
              </a:graphicData>
            </a:graphic>
            <wp14:sizeRelH relativeFrom="margin">
              <wp14:pctWidth>0</wp14:pctWidth>
            </wp14:sizeRelH>
            <wp14:sizeRelV relativeFrom="margin">
              <wp14:pctHeight>0</wp14:pctHeight>
            </wp14:sizeRelV>
          </wp:anchor>
        </w:drawing>
      </w:r>
      <w:r w:rsidR="00DB3E11" w:rsidRPr="006E177F">
        <w:rPr>
          <w:lang w:eastAsia="en-AU"/>
        </w:rPr>
        <w:t>Independent auditor’s report</w:t>
      </w:r>
      <w:bookmarkEnd w:id="526"/>
    </w:p>
    <w:p w14:paraId="6E588B12" w14:textId="77777777" w:rsidR="006E177F" w:rsidRPr="006E177F" w:rsidRDefault="006E177F" w:rsidP="006E177F">
      <w:pPr>
        <w:pStyle w:val="PSC-Body"/>
        <w:rPr>
          <w:lang w:eastAsia="en-AU"/>
        </w:rPr>
      </w:pPr>
    </w:p>
    <w:p w14:paraId="77D2615B" w14:textId="204C6903" w:rsidR="006E177F" w:rsidRPr="006E177F" w:rsidRDefault="006E177F" w:rsidP="006E177F">
      <w:pPr>
        <w:pStyle w:val="PSC-Body"/>
        <w:rPr>
          <w:lang w:eastAsia="en-AU"/>
        </w:rPr>
      </w:pPr>
      <w:r w:rsidRPr="006E177F">
        <w:rPr>
          <w:lang w:eastAsia="en-AU"/>
        </w:rPr>
        <w:t>To the Accountable Officer of the Public Sector Commission</w:t>
      </w:r>
    </w:p>
    <w:p w14:paraId="5CEDD9E4" w14:textId="1D72DCB8" w:rsidR="006E177F" w:rsidRPr="00671F50" w:rsidRDefault="006E177F" w:rsidP="006E177F">
      <w:pPr>
        <w:pStyle w:val="PSC-Body"/>
        <w:rPr>
          <w:b/>
          <w:lang w:eastAsia="en-AU"/>
        </w:rPr>
      </w:pPr>
      <w:r w:rsidRPr="00671F50">
        <w:rPr>
          <w:b/>
          <w:lang w:eastAsia="en-AU"/>
        </w:rPr>
        <w:t>Report on the audit of the financial report</w:t>
      </w:r>
    </w:p>
    <w:p w14:paraId="2F7CBC3E" w14:textId="2BCCE728" w:rsidR="005E7E14" w:rsidRDefault="006E177F" w:rsidP="006E177F">
      <w:pPr>
        <w:pStyle w:val="PSC-Body"/>
        <w:rPr>
          <w:b/>
          <w:lang w:eastAsia="en-AU"/>
        </w:rPr>
      </w:pPr>
      <w:r w:rsidRPr="00671F50">
        <w:rPr>
          <w:b/>
          <w:lang w:eastAsia="en-AU"/>
        </w:rPr>
        <w:t>Opinion</w:t>
      </w:r>
    </w:p>
    <w:p w14:paraId="760DB7B1" w14:textId="3292074F" w:rsidR="00557B28" w:rsidRDefault="00237C1F" w:rsidP="00237C1F">
      <w:pPr>
        <w:pStyle w:val="PSC-Body"/>
      </w:pPr>
      <w:r w:rsidRPr="00237C1F">
        <w:t xml:space="preserve">I have audited the accompanying financial report of the Public Sector Commission. </w:t>
      </w:r>
    </w:p>
    <w:p w14:paraId="7374E7D2" w14:textId="1F2553D4" w:rsidR="00237C1F" w:rsidRPr="00237C1F" w:rsidRDefault="00237C1F" w:rsidP="00237C1F">
      <w:pPr>
        <w:pStyle w:val="PSC-Body"/>
      </w:pPr>
      <w:r w:rsidRPr="00237C1F">
        <w:t>In my opinion, the financial report:</w:t>
      </w:r>
    </w:p>
    <w:p w14:paraId="66EE66B6" w14:textId="49BB4F48" w:rsidR="00237C1F" w:rsidRPr="00237C1F" w:rsidRDefault="00237C1F" w:rsidP="00557B28">
      <w:pPr>
        <w:pStyle w:val="PSC-Body"/>
        <w:numPr>
          <w:ilvl w:val="1"/>
          <w:numId w:val="20"/>
        </w:numPr>
        <w:tabs>
          <w:tab w:val="left" w:pos="1134"/>
        </w:tabs>
        <w:ind w:left="567" w:hanging="567"/>
      </w:pPr>
      <w:r w:rsidRPr="00237C1F">
        <w:t xml:space="preserve">gives a true and fair view of the department's financial position as </w:t>
      </w:r>
      <w:proofErr w:type="gramStart"/>
      <w:r w:rsidRPr="00237C1F">
        <w:t>at</w:t>
      </w:r>
      <w:proofErr w:type="gramEnd"/>
      <w:r w:rsidRPr="00237C1F">
        <w:t xml:space="preserve"> 30 June 2023, and its financial performance and cash flows for the year then ended</w:t>
      </w:r>
    </w:p>
    <w:p w14:paraId="62E74508" w14:textId="2F05C398" w:rsidR="00237C1F" w:rsidRPr="00237C1F" w:rsidRDefault="00237C1F" w:rsidP="00557B28">
      <w:pPr>
        <w:pStyle w:val="PSC-Body"/>
        <w:numPr>
          <w:ilvl w:val="1"/>
          <w:numId w:val="20"/>
        </w:numPr>
        <w:tabs>
          <w:tab w:val="left" w:pos="1134"/>
        </w:tabs>
        <w:ind w:left="567" w:hanging="567"/>
      </w:pPr>
      <w:r w:rsidRPr="00237C1F">
        <w:t>complies with the Financial Accountability Act 2009, the Financial and Performance Management Standard 2019 and Australian Accounting Standards.</w:t>
      </w:r>
    </w:p>
    <w:p w14:paraId="208773A9" w14:textId="0C74C0CF" w:rsidR="00237C1F" w:rsidRDefault="00237C1F" w:rsidP="00237C1F">
      <w:pPr>
        <w:pStyle w:val="PSC-Body"/>
      </w:pPr>
      <w:r w:rsidRPr="00237C1F">
        <w:t xml:space="preserve">The financial report comprises the statement of financial position as </w:t>
      </w:r>
      <w:proofErr w:type="gramStart"/>
      <w:r w:rsidRPr="00237C1F">
        <w:t>at</w:t>
      </w:r>
      <w:proofErr w:type="gramEnd"/>
      <w:r w:rsidRPr="00237C1F">
        <w:t xml:space="preserve"> 30 June 2023, the statement of comprehensive income, statement of changes in equity, statement of cash flows for the year then ended, notes to the financial statements including material accounting policy information, and the management certificate.</w:t>
      </w:r>
    </w:p>
    <w:p w14:paraId="7740000D" w14:textId="3F19DA23" w:rsidR="00AE7459" w:rsidRPr="00AE7459" w:rsidRDefault="00AE7459" w:rsidP="00AE7459">
      <w:pPr>
        <w:pStyle w:val="PSC-Body"/>
        <w:rPr>
          <w:b/>
        </w:rPr>
      </w:pPr>
      <w:r w:rsidRPr="00AE7459">
        <w:rPr>
          <w:b/>
        </w:rPr>
        <w:t>Basis for opinion</w:t>
      </w:r>
    </w:p>
    <w:p w14:paraId="6D4EF459" w14:textId="4A5C0BF0" w:rsidR="00AE7459" w:rsidRDefault="00AE7459" w:rsidP="00AE7459">
      <w:pPr>
        <w:pStyle w:val="PSC-Body"/>
      </w:pPr>
      <w:r>
        <w:t>I conducted my audit in accordance with the Auditor-General Auditing Standards, which incorporate the Australian Auditing Standards. My responsibilities under those standards are further described in the Auditor’s Responsibilities for the Audit of the Financial Report section of my report.</w:t>
      </w:r>
    </w:p>
    <w:p w14:paraId="0900DD77" w14:textId="3611CF59" w:rsidR="00AE7459" w:rsidRDefault="00AE7459" w:rsidP="00AE7459">
      <w:pPr>
        <w:pStyle w:val="PSC-Body"/>
      </w:pPr>
      <w:r>
        <w:t>I am independent of the department in accordance with the ethical requirements of the Accounting Professional and Ethical Standards Board’s APES 110 Code of Ethics for Professional Accountants (the Code) that are relevant to my audit of the financial report in Australia. I have also fulfilled my other ethical responsibilities in accordance with the Code and the Auditor-General Auditing Standards.</w:t>
      </w:r>
    </w:p>
    <w:p w14:paraId="4ECE943F" w14:textId="771EBC97" w:rsidR="00AE7459" w:rsidRDefault="00AE7459" w:rsidP="00AE7459">
      <w:pPr>
        <w:pStyle w:val="PSC-Body"/>
      </w:pPr>
      <w:r>
        <w:t>I believe that the audit evidence I have obtained is sufficient and appropriate to provide a basis for my opinion.</w:t>
      </w:r>
    </w:p>
    <w:p w14:paraId="723B2457" w14:textId="77777777" w:rsidR="006222A2" w:rsidRPr="006222A2" w:rsidRDefault="006222A2" w:rsidP="006222A2">
      <w:pPr>
        <w:pStyle w:val="PSC-Body"/>
        <w:rPr>
          <w:b/>
        </w:rPr>
      </w:pPr>
      <w:r w:rsidRPr="006222A2">
        <w:rPr>
          <w:b/>
        </w:rPr>
        <w:t>Key audit matters</w:t>
      </w:r>
    </w:p>
    <w:p w14:paraId="61EE1BB5" w14:textId="77777777" w:rsidR="006222A2" w:rsidRDefault="006222A2" w:rsidP="006222A2">
      <w:pPr>
        <w:pStyle w:val="PSC-Body"/>
      </w:pPr>
      <w:r>
        <w:t>I have determined that there are no key audit matters to communicate in our report.</w:t>
      </w:r>
    </w:p>
    <w:p w14:paraId="06A9E392" w14:textId="77777777" w:rsidR="006222A2" w:rsidRPr="006222A2" w:rsidRDefault="006222A2" w:rsidP="006222A2">
      <w:pPr>
        <w:pStyle w:val="PSC-Body"/>
        <w:rPr>
          <w:b/>
        </w:rPr>
      </w:pPr>
      <w:r w:rsidRPr="006222A2">
        <w:rPr>
          <w:b/>
        </w:rPr>
        <w:t>Responsibilities of the department for the financial report</w:t>
      </w:r>
    </w:p>
    <w:p w14:paraId="549EB425" w14:textId="41ECDA00" w:rsidR="00AE7459" w:rsidRPr="00237C1F" w:rsidRDefault="006222A2" w:rsidP="006222A2">
      <w:pPr>
        <w:pStyle w:val="PSC-Body"/>
      </w:pPr>
      <w:r>
        <w:t>The Accountable Officer is responsible for the preparation of the financial report that gives a true and fair view in accordance with the Financial Accountability Act 2009, the Financial and Performance Management Standard 2019 and Australian Accounting Standards, and for such internal control as the Accountable Officer determines is necessary to enable the preparation of the financial report that is free from material misstatement, whether due to fraud or error.</w:t>
      </w:r>
    </w:p>
    <w:p w14:paraId="43CB44D4" w14:textId="06C57EA5" w:rsidR="005E7E14" w:rsidRDefault="005E7E14" w:rsidP="003661A7">
      <w:r>
        <w:br w:type="page"/>
      </w:r>
    </w:p>
    <w:p w14:paraId="4C8D16DD" w14:textId="7735BFA9" w:rsidR="005A754A" w:rsidRPr="005A754A" w:rsidRDefault="005A754A" w:rsidP="005A754A">
      <w:pPr>
        <w:pStyle w:val="PSC-Body"/>
      </w:pPr>
      <w:r w:rsidRPr="005A754A">
        <w:lastRenderedPageBreak/>
        <w:t>The Accountable Officer is also responsible for assessing the department's ability to continue as a going concern, disclosing, as applicable, matters relating to going concern and using the going concern basis of accounting unless it is intended to abolish the department or to otherwise cease operations.</w:t>
      </w:r>
    </w:p>
    <w:p w14:paraId="5BB2F034" w14:textId="7FC7EE5B" w:rsidR="005A754A" w:rsidRPr="005A754A" w:rsidRDefault="005A754A" w:rsidP="005A754A">
      <w:pPr>
        <w:pStyle w:val="PSC-Body"/>
        <w:rPr>
          <w:b/>
        </w:rPr>
      </w:pPr>
      <w:r w:rsidRPr="005A754A">
        <w:rPr>
          <w:b/>
        </w:rPr>
        <w:t>Auditor’s responsibilities for the audit of the financial report</w:t>
      </w:r>
    </w:p>
    <w:p w14:paraId="7AB5E583" w14:textId="668C0BD0" w:rsidR="005A754A" w:rsidRPr="005A754A" w:rsidRDefault="005A754A" w:rsidP="005A754A">
      <w:pPr>
        <w:pStyle w:val="PSC-Body"/>
      </w:pPr>
      <w:r w:rsidRPr="005A754A">
        <w:t xml:space="preserve">My objectives are to obtain reasonable assurance about whether the financial report </w:t>
      </w:r>
      <w:proofErr w:type="gramStart"/>
      <w:r w:rsidRPr="005A754A">
        <w:t>as a whole is</w:t>
      </w:r>
      <w:proofErr w:type="gramEnd"/>
      <w:r w:rsidRPr="005A754A">
        <w:t xml:space="preserve"> free from material misstatement, whether due to fraud or error, and to issue an auditor’s report that includes my opinion. Reasonable assurance is a high level of </w:t>
      </w:r>
      <w:proofErr w:type="gramStart"/>
      <w:r w:rsidRPr="005A754A">
        <w:t>assurance, but</w:t>
      </w:r>
      <w:proofErr w:type="gramEnd"/>
      <w:r w:rsidRPr="005A754A">
        <w:t xml:space="preserve">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w:t>
      </w:r>
      <w:proofErr w:type="gramStart"/>
      <w:r w:rsidRPr="005A754A">
        <w:t>on the basis of</w:t>
      </w:r>
      <w:proofErr w:type="gramEnd"/>
      <w:r w:rsidRPr="005A754A">
        <w:t xml:space="preserve"> this financial report.</w:t>
      </w:r>
    </w:p>
    <w:p w14:paraId="1A201773" w14:textId="2F32BEA3" w:rsidR="005A754A" w:rsidRDefault="005A754A" w:rsidP="005A754A">
      <w:pPr>
        <w:pStyle w:val="PSC-Body"/>
      </w:pPr>
      <w:r w:rsidRPr="005A754A">
        <w:t>As part of an audit in accordance with the Australian Auditing Standards, I exercise professional judgement and maintain professional scepticism throughout the audit. I also:</w:t>
      </w:r>
    </w:p>
    <w:p w14:paraId="35B82049" w14:textId="3C4FAB6E" w:rsidR="00122B32" w:rsidRDefault="00122B32" w:rsidP="00122B32">
      <w:pPr>
        <w:pStyle w:val="PSC-Bullets1"/>
      </w:pPr>
      <w: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73BB5DD8" w14:textId="77777777" w:rsidR="00122B32" w:rsidRDefault="00122B32" w:rsidP="00122B32">
      <w:pPr>
        <w:pStyle w:val="PSC-Bullets1"/>
      </w:pPr>
      <w:r>
        <w:t xml:space="preserve">Obtain an understanding of internal control relevant to the audit </w:t>
      </w:r>
      <w:proofErr w:type="gramStart"/>
      <w:r>
        <w:t>in order to</w:t>
      </w:r>
      <w:proofErr w:type="gramEnd"/>
      <w:r>
        <w:t xml:space="preserve"> design audit procedures that are appropriate in the circumstances. This is not done for the purpose of expressing an opinion on the effectiveness of the department's internal </w:t>
      </w:r>
      <w:proofErr w:type="gramStart"/>
      <w:r>
        <w:t>controls, but</w:t>
      </w:r>
      <w:proofErr w:type="gramEnd"/>
      <w:r>
        <w:t xml:space="preserve"> allows me to express an opinion on compliance with prescribed requirements.</w:t>
      </w:r>
    </w:p>
    <w:p w14:paraId="760C12B0" w14:textId="77777777" w:rsidR="00122B32" w:rsidRDefault="00122B32" w:rsidP="00122B32">
      <w:pPr>
        <w:pStyle w:val="PSC-Bullets1"/>
      </w:pPr>
      <w:r>
        <w:t>Evaluate the appropriateness of accounting policies used and the reasonableness of accounting estimates and related disclosures made by the department.</w:t>
      </w:r>
    </w:p>
    <w:p w14:paraId="4835E771" w14:textId="77777777" w:rsidR="00122B32" w:rsidRDefault="00122B32" w:rsidP="00122B32">
      <w:pPr>
        <w:pStyle w:val="PSC-Bullets1"/>
      </w:pPr>
      <w:r>
        <w:t>Conclude on the appropriateness of the department's use of the going concern basis of accounting and, based on the audit evidence obtained, whether a material uncertainty exists related to events or conditions that may cast significant doubt on the department's ability to continue as a going concern. If I conclude that a material</w:t>
      </w:r>
    </w:p>
    <w:p w14:paraId="56FCBD7B" w14:textId="56C100BA" w:rsidR="00122B32" w:rsidRDefault="00122B32" w:rsidP="00122B32">
      <w:pPr>
        <w:pStyle w:val="PSC-Bullets1"/>
      </w:pPr>
      <w:r>
        <w:t>uncertainty exists, I am required to draw attention in my auditor’s report to the related disclosures in the financial report or, if such disclosures are inadequate, to modify my opinion. I base my conclusions on the audit evidence obtained up to the date of my auditor’s report. However, future events or conditions may cause the department to cease to continue as a going concern.</w:t>
      </w:r>
    </w:p>
    <w:p w14:paraId="38FDF2F2" w14:textId="77777777" w:rsidR="00122B32" w:rsidRDefault="00122B32" w:rsidP="00122B32">
      <w:pPr>
        <w:pStyle w:val="PSC-Bullets1"/>
      </w:pPr>
      <w:r>
        <w:t xml:space="preserve">Evaluate the overall presentation, </w:t>
      </w:r>
      <w:proofErr w:type="gramStart"/>
      <w:r>
        <w:t>structure</w:t>
      </w:r>
      <w:proofErr w:type="gramEnd"/>
      <w:r>
        <w:t xml:space="preserve"> and content of the financial report, including the disclosures, and whether the financial report represents the underlying transactions and events in a manner that achieves fair presentation.</w:t>
      </w:r>
    </w:p>
    <w:p w14:paraId="5C402C38" w14:textId="1F0278A7" w:rsidR="00122B32" w:rsidRDefault="002E41E0" w:rsidP="00C105BB">
      <w:pPr>
        <w:pStyle w:val="PSC-Body"/>
      </w:pPr>
      <w:r w:rsidRPr="002E41E0">
        <w:t>I communicate with the Accountable Officer regarding, among other matters, the planned scope and timing of the audit and significant audit findings, including any significant deficiencies in internal control that I identify during my audit</w:t>
      </w:r>
      <w:r w:rsidR="00416AEC">
        <w:t>.</w:t>
      </w:r>
      <w:r w:rsidR="00416AEC" w:rsidRPr="00416AEC">
        <w:rPr>
          <w:noProof/>
        </w:rPr>
        <w:t xml:space="preserve"> </w:t>
      </w:r>
      <w:r w:rsidR="00416AEC">
        <w:rPr>
          <w:noProof/>
        </w:rPr>
        <w:drawing>
          <wp:anchor distT="0" distB="107950" distL="114300" distR="114300" simplePos="0" relativeHeight="251658251" behindDoc="0" locked="0" layoutInCell="1" allowOverlap="1" wp14:anchorId="2B88F839" wp14:editId="44BFDA68">
            <wp:simplePos x="0" y="0"/>
            <wp:positionH relativeFrom="margin">
              <wp:posOffset>-2540</wp:posOffset>
            </wp:positionH>
            <wp:positionV relativeFrom="page">
              <wp:posOffset>304800</wp:posOffset>
            </wp:positionV>
            <wp:extent cx="1684800" cy="612000"/>
            <wp:effectExtent l="0" t="0" r="0" b="0"/>
            <wp:wrapTopAndBottom/>
            <wp:docPr id="1003355305" name="Picture 1003355305" descr="Queensland Audit Off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3355305" name="Picture 1003355305" descr="Queensland Audit Office logo"/>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684800" cy="612000"/>
                    </a:xfrm>
                    <a:prstGeom prst="rect">
                      <a:avLst/>
                    </a:prstGeom>
                  </pic:spPr>
                </pic:pic>
              </a:graphicData>
            </a:graphic>
            <wp14:sizeRelH relativeFrom="margin">
              <wp14:pctWidth>0</wp14:pctWidth>
            </wp14:sizeRelH>
            <wp14:sizeRelV relativeFrom="margin">
              <wp14:pctHeight>0</wp14:pctHeight>
            </wp14:sizeRelV>
          </wp:anchor>
        </w:drawing>
      </w:r>
    </w:p>
    <w:p w14:paraId="13EEE506" w14:textId="6C8E2824" w:rsidR="005A754A" w:rsidRDefault="005A754A" w:rsidP="003661A7">
      <w:r>
        <w:br w:type="page"/>
      </w:r>
    </w:p>
    <w:p w14:paraId="5238B77F" w14:textId="24A6D24F" w:rsidR="00505AA3" w:rsidRPr="00505AA3" w:rsidRDefault="00416AEC" w:rsidP="00550357">
      <w:pPr>
        <w:pStyle w:val="PSC-Body"/>
        <w:rPr>
          <w:b/>
        </w:rPr>
      </w:pPr>
      <w:r>
        <w:rPr>
          <w:noProof/>
        </w:rPr>
        <w:lastRenderedPageBreak/>
        <w:drawing>
          <wp:anchor distT="0" distB="107950" distL="114300" distR="114300" simplePos="0" relativeHeight="251658252" behindDoc="0" locked="0" layoutInCell="1" allowOverlap="1" wp14:anchorId="2F035B3D" wp14:editId="5FEA96D1">
            <wp:simplePos x="0" y="0"/>
            <wp:positionH relativeFrom="margin">
              <wp:posOffset>-2540</wp:posOffset>
            </wp:positionH>
            <wp:positionV relativeFrom="page">
              <wp:posOffset>304800</wp:posOffset>
            </wp:positionV>
            <wp:extent cx="1684800" cy="612000"/>
            <wp:effectExtent l="0" t="0" r="0" b="0"/>
            <wp:wrapTopAndBottom/>
            <wp:docPr id="197161972" name="Picture 197161972" descr="Queensland Audit Off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161972" name="Picture 197161972" descr="Queensland Audit Office logo"/>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684800" cy="612000"/>
                    </a:xfrm>
                    <a:prstGeom prst="rect">
                      <a:avLst/>
                    </a:prstGeom>
                  </pic:spPr>
                </pic:pic>
              </a:graphicData>
            </a:graphic>
            <wp14:sizeRelH relativeFrom="margin">
              <wp14:pctWidth>0</wp14:pctWidth>
            </wp14:sizeRelH>
            <wp14:sizeRelV relativeFrom="margin">
              <wp14:pctHeight>0</wp14:pctHeight>
            </wp14:sizeRelV>
          </wp:anchor>
        </w:drawing>
      </w:r>
      <w:r w:rsidR="00550357" w:rsidRPr="00505AA3">
        <w:rPr>
          <w:b/>
        </w:rPr>
        <w:t>Report on other legal and regulatory requirements</w:t>
      </w:r>
    </w:p>
    <w:p w14:paraId="5B8CC23E" w14:textId="01EE8B7F" w:rsidR="00550357" w:rsidRPr="00505AA3" w:rsidRDefault="00550357" w:rsidP="00550357">
      <w:pPr>
        <w:pStyle w:val="PSC-Body"/>
        <w:rPr>
          <w:b/>
        </w:rPr>
      </w:pPr>
      <w:r w:rsidRPr="00505AA3">
        <w:rPr>
          <w:b/>
        </w:rPr>
        <w:t>Statement</w:t>
      </w:r>
    </w:p>
    <w:p w14:paraId="420498D1" w14:textId="77777777" w:rsidR="00550357" w:rsidRPr="00550357" w:rsidRDefault="00550357" w:rsidP="00550357">
      <w:pPr>
        <w:pStyle w:val="PSC-Body"/>
      </w:pPr>
      <w:r w:rsidRPr="00550357">
        <w:t>In accordance with s.40 of the Auditor-General Act 2009, for the year ended 30 June 2023:</w:t>
      </w:r>
    </w:p>
    <w:p w14:paraId="45677107" w14:textId="72C1902E" w:rsidR="00550357" w:rsidRPr="00550357" w:rsidRDefault="00550357" w:rsidP="00F23143">
      <w:pPr>
        <w:pStyle w:val="PSC-Body"/>
        <w:numPr>
          <w:ilvl w:val="1"/>
          <w:numId w:val="21"/>
        </w:numPr>
        <w:tabs>
          <w:tab w:val="left" w:pos="1276"/>
        </w:tabs>
        <w:ind w:left="567" w:hanging="567"/>
      </w:pPr>
      <w:r w:rsidRPr="00550357">
        <w:t>I received all the information and explanations I required.</w:t>
      </w:r>
    </w:p>
    <w:p w14:paraId="2C67F0FC" w14:textId="06C51D2A" w:rsidR="00550357" w:rsidRPr="00550357" w:rsidRDefault="00550357" w:rsidP="00F23143">
      <w:pPr>
        <w:pStyle w:val="PSC-Body"/>
        <w:numPr>
          <w:ilvl w:val="1"/>
          <w:numId w:val="21"/>
        </w:numPr>
        <w:tabs>
          <w:tab w:val="left" w:pos="1276"/>
        </w:tabs>
        <w:ind w:left="567" w:hanging="567"/>
      </w:pPr>
      <w:r w:rsidRPr="00550357">
        <w:t>I consider that, the prescribed requirements in relation to the establishment and keeping of accounts were complied with in all material respects.</w:t>
      </w:r>
    </w:p>
    <w:p w14:paraId="2A94CC6A" w14:textId="77777777" w:rsidR="00550357" w:rsidRPr="00F23143" w:rsidRDefault="00550357" w:rsidP="00550357">
      <w:pPr>
        <w:pStyle w:val="PSC-Body"/>
        <w:rPr>
          <w:b/>
        </w:rPr>
      </w:pPr>
      <w:r w:rsidRPr="00F23143">
        <w:rPr>
          <w:b/>
        </w:rPr>
        <w:t>Prescribed requirements scope</w:t>
      </w:r>
    </w:p>
    <w:p w14:paraId="65F52FC3" w14:textId="2972C252" w:rsidR="002E41E0" w:rsidRDefault="00550357" w:rsidP="00550357">
      <w:pPr>
        <w:pStyle w:val="PSC-Body"/>
      </w:pPr>
      <w:r w:rsidRPr="00550357">
        <w:t>The prescribed requirements for the establishment and keeping of accounts are contained in the Financial Accountability Act 2009, any other Act and the Financial and Performance Management Standard 2019. The applicable requirements include those for keeping financial records that correctly record and explain the department’s transactions and account balances to enable the preparation of a true and fair financial report.</w:t>
      </w:r>
    </w:p>
    <w:p w14:paraId="20E01A31" w14:textId="77777777" w:rsidR="003F7430" w:rsidRDefault="003F7430" w:rsidP="00550357">
      <w:pPr>
        <w:pStyle w:val="PSC-Body"/>
      </w:pPr>
    </w:p>
    <w:p w14:paraId="3600C2B5" w14:textId="77777777" w:rsidR="00FB2513" w:rsidRPr="00FB2513" w:rsidRDefault="00FB2513" w:rsidP="003661A7">
      <w:r w:rsidRPr="00FB2513">
        <w:rPr>
          <w:noProof/>
        </w:rPr>
        <w:drawing>
          <wp:anchor distT="0" distB="0" distL="0" distR="0" simplePos="0" relativeHeight="251658248" behindDoc="0" locked="0" layoutInCell="1" allowOverlap="1" wp14:anchorId="1A2F6E61" wp14:editId="55F53653">
            <wp:simplePos x="0" y="0"/>
            <wp:positionH relativeFrom="page">
              <wp:posOffset>904240</wp:posOffset>
            </wp:positionH>
            <wp:positionV relativeFrom="paragraph">
              <wp:posOffset>157612</wp:posOffset>
            </wp:positionV>
            <wp:extent cx="850772" cy="474725"/>
            <wp:effectExtent l="0" t="0" r="6985" b="1905"/>
            <wp:wrapNone/>
            <wp:docPr id="57" name="Picture 57" descr="Signature of Melissa Fletcher, as delegate of the Auditor-General, Queensland Audit Office, Brisbane, dated 28 August 2023.&#10;">
              <a:hlinkClick xmlns:a="http://schemas.openxmlformats.org/drawingml/2006/main" r:id="rId6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descr="Signature of Melissa Fletcher, as delegate of the Auditor-General, Queensland Audit Office, Brisbane, dated 28 August 2023.&#10;">
                      <a:hlinkClick r:id="rId66"/>
                    </pic:cNvPr>
                    <pic:cNvPicPr/>
                  </pic:nvPicPr>
                  <pic:blipFill>
                    <a:blip r:embed="rId67" cstate="print">
                      <a:biLevel thresh="75000"/>
                    </a:blip>
                    <a:stretch>
                      <a:fillRect/>
                    </a:stretch>
                  </pic:blipFill>
                  <pic:spPr>
                    <a:xfrm>
                      <a:off x="0" y="0"/>
                      <a:ext cx="850772" cy="474725"/>
                    </a:xfrm>
                    <a:prstGeom prst="rect">
                      <a:avLst/>
                    </a:prstGeom>
                  </pic:spPr>
                </pic:pic>
              </a:graphicData>
            </a:graphic>
          </wp:anchor>
        </w:drawing>
      </w:r>
      <w:r w:rsidRPr="00FB2513">
        <w:t>28</w:t>
      </w:r>
      <w:r w:rsidRPr="00FB2513">
        <w:rPr>
          <w:spacing w:val="-3"/>
        </w:rPr>
        <w:t xml:space="preserve"> </w:t>
      </w:r>
      <w:r w:rsidRPr="00FB2513">
        <w:t>August</w:t>
      </w:r>
      <w:r w:rsidRPr="00FB2513">
        <w:rPr>
          <w:spacing w:val="-2"/>
        </w:rPr>
        <w:t xml:space="preserve"> </w:t>
      </w:r>
      <w:r w:rsidRPr="00FB2513">
        <w:rPr>
          <w:spacing w:val="-4"/>
        </w:rPr>
        <w:t>2023</w:t>
      </w:r>
    </w:p>
    <w:p w14:paraId="563A6B33" w14:textId="77777777" w:rsidR="00FB2513" w:rsidRDefault="00FB2513" w:rsidP="00FB2513">
      <w:pPr>
        <w:pStyle w:val="BodyText"/>
        <w:rPr>
          <w:sz w:val="24"/>
        </w:rPr>
      </w:pPr>
    </w:p>
    <w:p w14:paraId="2376A470" w14:textId="77777777" w:rsidR="002E1CAF" w:rsidRDefault="002E1CAF" w:rsidP="00E83F49">
      <w:pPr>
        <w:pStyle w:val="PSC-Body"/>
      </w:pPr>
    </w:p>
    <w:p w14:paraId="37542673" w14:textId="13F119C7" w:rsidR="00E83F49" w:rsidRDefault="00E83F49" w:rsidP="00E83F49">
      <w:pPr>
        <w:pStyle w:val="PSC-Body"/>
      </w:pPr>
      <w:r>
        <w:t>Melissa Fletcher</w:t>
      </w:r>
      <w:r>
        <w:tab/>
      </w:r>
      <w:r>
        <w:tab/>
      </w:r>
      <w:r>
        <w:tab/>
      </w:r>
      <w:r>
        <w:tab/>
      </w:r>
      <w:r>
        <w:tab/>
      </w:r>
      <w:r>
        <w:tab/>
      </w:r>
      <w:r>
        <w:tab/>
      </w:r>
      <w:r>
        <w:tab/>
        <w:t xml:space="preserve">    Queensland Audit Office</w:t>
      </w:r>
    </w:p>
    <w:p w14:paraId="63FFD7AC" w14:textId="42203E0E" w:rsidR="00FB2513" w:rsidRDefault="00E83F49" w:rsidP="00E83F49">
      <w:pPr>
        <w:pStyle w:val="PSC-Body"/>
      </w:pPr>
      <w:r>
        <w:t>as delegate of the Auditor-General</w:t>
      </w:r>
      <w:r>
        <w:tab/>
      </w:r>
      <w:r w:rsidR="0043723B">
        <w:tab/>
      </w:r>
      <w:r w:rsidR="0043723B">
        <w:tab/>
      </w:r>
      <w:r w:rsidR="0043723B">
        <w:tab/>
      </w:r>
      <w:r w:rsidR="0043723B">
        <w:tab/>
      </w:r>
      <w:r w:rsidR="0043723B">
        <w:tab/>
      </w:r>
      <w:r w:rsidR="0043723B">
        <w:tab/>
      </w:r>
      <w:r w:rsidR="0043723B">
        <w:tab/>
        <w:t xml:space="preserve">   </w:t>
      </w:r>
      <w:r>
        <w:t>Brisbane</w:t>
      </w:r>
    </w:p>
    <w:p w14:paraId="456232D0" w14:textId="390D2DFD" w:rsidR="002E41E0" w:rsidRDefault="002E41E0" w:rsidP="003661A7">
      <w:r>
        <w:br w:type="page"/>
      </w:r>
    </w:p>
    <w:p w14:paraId="6BF8AB8C" w14:textId="38776D37" w:rsidR="00585FF3" w:rsidRPr="00CF7C62" w:rsidRDefault="00042389" w:rsidP="00CF7C62">
      <w:pPr>
        <w:pStyle w:val="PSCHeading1"/>
        <w:rPr>
          <w:rFonts w:eastAsia="SimSun" w:cs="Arial"/>
          <w:szCs w:val="20"/>
          <w:lang w:eastAsia="zh-CN"/>
        </w:rPr>
      </w:pPr>
      <w:bookmarkStart w:id="527" w:name="_Toc141342851"/>
      <w:bookmarkStart w:id="528" w:name="_Toc141781822"/>
      <w:bookmarkStart w:id="529" w:name="_Toc141781984"/>
      <w:bookmarkStart w:id="530" w:name="_Toc145926998"/>
      <w:r>
        <w:lastRenderedPageBreak/>
        <w:t>Glossary</w:t>
      </w:r>
      <w:bookmarkEnd w:id="321"/>
      <w:bookmarkEnd w:id="322"/>
      <w:bookmarkEnd w:id="527"/>
      <w:bookmarkEnd w:id="528"/>
      <w:bookmarkEnd w:id="529"/>
      <w:bookmarkEnd w:id="530"/>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371"/>
      </w:tblGrid>
      <w:tr w:rsidR="00FA5FAE" w14:paraId="42889A10" w14:textId="77777777" w:rsidTr="00F01C72">
        <w:trPr>
          <w:trHeight w:val="413"/>
        </w:trPr>
        <w:tc>
          <w:tcPr>
            <w:tcW w:w="2268" w:type="dxa"/>
            <w:vAlign w:val="center"/>
          </w:tcPr>
          <w:p w14:paraId="4130AAB1" w14:textId="03712B82" w:rsidR="00FA5FAE" w:rsidRPr="00290DD3" w:rsidRDefault="00FA5FAE" w:rsidP="006E0DBA">
            <w:pPr>
              <w:pStyle w:val="BodyText"/>
              <w:spacing w:before="80" w:after="80" w:line="264" w:lineRule="auto"/>
              <w:rPr>
                <w:rFonts w:cs="Arial"/>
                <w:color w:val="000000"/>
              </w:rPr>
            </w:pPr>
            <w:r w:rsidRPr="49BF3F54">
              <w:rPr>
                <w:rFonts w:cs="Arial"/>
              </w:rPr>
              <w:t>AASB</w:t>
            </w:r>
          </w:p>
        </w:tc>
        <w:tc>
          <w:tcPr>
            <w:tcW w:w="7371" w:type="dxa"/>
          </w:tcPr>
          <w:p w14:paraId="03111CC0" w14:textId="3396A084" w:rsidR="00FA5FAE" w:rsidRPr="006E0DBA" w:rsidRDefault="00FA5FAE" w:rsidP="00F01C72">
            <w:pPr>
              <w:pStyle w:val="BodyText"/>
              <w:spacing w:before="80" w:after="80" w:line="264" w:lineRule="auto"/>
              <w:rPr>
                <w:rFonts w:cs="Arial"/>
                <w:color w:val="000000"/>
                <w:szCs w:val="20"/>
              </w:rPr>
            </w:pPr>
            <w:r w:rsidRPr="006E0DBA">
              <w:rPr>
                <w:rFonts w:cs="Arial"/>
                <w:szCs w:val="20"/>
              </w:rPr>
              <w:t>Australian Accounting Standards Board</w:t>
            </w:r>
          </w:p>
        </w:tc>
      </w:tr>
      <w:tr w:rsidR="00FA5FAE" w14:paraId="4470F47B" w14:textId="77777777" w:rsidTr="00F01C72">
        <w:trPr>
          <w:trHeight w:val="413"/>
        </w:trPr>
        <w:tc>
          <w:tcPr>
            <w:tcW w:w="2268" w:type="dxa"/>
            <w:vAlign w:val="center"/>
          </w:tcPr>
          <w:p w14:paraId="38BB7B8F" w14:textId="4788BC46" w:rsidR="00FA5FAE" w:rsidRPr="00290DD3" w:rsidRDefault="00FA5FAE" w:rsidP="006E0DBA">
            <w:pPr>
              <w:pStyle w:val="BodyText"/>
              <w:spacing w:before="80" w:after="80" w:line="264" w:lineRule="auto"/>
              <w:rPr>
                <w:rFonts w:cs="Arial"/>
                <w:color w:val="000000"/>
              </w:rPr>
            </w:pPr>
            <w:r w:rsidRPr="49BF3F54">
              <w:rPr>
                <w:rFonts w:cs="Arial"/>
              </w:rPr>
              <w:t>AL</w:t>
            </w:r>
          </w:p>
        </w:tc>
        <w:tc>
          <w:tcPr>
            <w:tcW w:w="7371" w:type="dxa"/>
          </w:tcPr>
          <w:p w14:paraId="0B7FE496" w14:textId="2F58A27D" w:rsidR="00FA5FAE" w:rsidRPr="006E0DBA" w:rsidRDefault="00FA5FAE" w:rsidP="00F01C72">
            <w:pPr>
              <w:pStyle w:val="BodyText"/>
              <w:spacing w:before="80" w:after="80" w:line="264" w:lineRule="auto"/>
              <w:rPr>
                <w:rFonts w:cs="Arial"/>
                <w:color w:val="000000"/>
                <w:szCs w:val="20"/>
              </w:rPr>
            </w:pPr>
            <w:r w:rsidRPr="006E0DBA">
              <w:rPr>
                <w:rFonts w:cs="Arial"/>
                <w:szCs w:val="20"/>
              </w:rPr>
              <w:t>Annual leave</w:t>
            </w:r>
          </w:p>
        </w:tc>
      </w:tr>
      <w:tr w:rsidR="003604E0" w14:paraId="47818D86" w14:textId="77777777" w:rsidTr="00F01C72">
        <w:trPr>
          <w:trHeight w:val="413"/>
        </w:trPr>
        <w:tc>
          <w:tcPr>
            <w:tcW w:w="2268" w:type="dxa"/>
            <w:vAlign w:val="center"/>
          </w:tcPr>
          <w:p w14:paraId="57C8C30D" w14:textId="4A50121A" w:rsidR="003604E0" w:rsidRPr="00290DD3" w:rsidRDefault="003604E0" w:rsidP="006E0DBA">
            <w:pPr>
              <w:pStyle w:val="BodyText"/>
              <w:spacing w:before="80" w:after="80" w:line="264" w:lineRule="auto"/>
              <w:rPr>
                <w:rFonts w:cs="Arial"/>
                <w:color w:val="000000"/>
              </w:rPr>
            </w:pPr>
            <w:r w:rsidRPr="49BF3F54">
              <w:rPr>
                <w:rFonts w:cs="Arial"/>
              </w:rPr>
              <w:t>ANZSOG</w:t>
            </w:r>
          </w:p>
        </w:tc>
        <w:tc>
          <w:tcPr>
            <w:tcW w:w="7371" w:type="dxa"/>
          </w:tcPr>
          <w:p w14:paraId="4BEFBF0F" w14:textId="6D8838A8" w:rsidR="003604E0" w:rsidRPr="006E0DBA" w:rsidRDefault="003604E0" w:rsidP="00F01C72">
            <w:pPr>
              <w:pStyle w:val="BodyText"/>
              <w:spacing w:before="80" w:after="80" w:line="264" w:lineRule="auto"/>
              <w:rPr>
                <w:rFonts w:cs="Arial"/>
                <w:color w:val="000000"/>
                <w:szCs w:val="20"/>
              </w:rPr>
            </w:pPr>
            <w:r w:rsidRPr="006E0DBA">
              <w:rPr>
                <w:rFonts w:cs="Arial"/>
                <w:szCs w:val="20"/>
              </w:rPr>
              <w:t>Australia and New Zealand School of Government</w:t>
            </w:r>
          </w:p>
        </w:tc>
      </w:tr>
      <w:tr w:rsidR="003604E0" w14:paraId="0A917B47" w14:textId="77777777" w:rsidTr="00F01C72">
        <w:trPr>
          <w:trHeight w:val="413"/>
        </w:trPr>
        <w:tc>
          <w:tcPr>
            <w:tcW w:w="2268" w:type="dxa"/>
            <w:vAlign w:val="center"/>
          </w:tcPr>
          <w:p w14:paraId="22FBA395" w14:textId="60E9532C" w:rsidR="003604E0" w:rsidRPr="00290DD3" w:rsidRDefault="003604E0" w:rsidP="006E0DBA">
            <w:pPr>
              <w:pStyle w:val="BodyText"/>
              <w:spacing w:before="80" w:after="80" w:line="264" w:lineRule="auto"/>
              <w:rPr>
                <w:rFonts w:cs="Arial"/>
                <w:color w:val="000000"/>
              </w:rPr>
            </w:pPr>
            <w:r w:rsidRPr="49BF3F54">
              <w:rPr>
                <w:rFonts w:cs="Arial"/>
              </w:rPr>
              <w:t>ARMC</w:t>
            </w:r>
          </w:p>
        </w:tc>
        <w:tc>
          <w:tcPr>
            <w:tcW w:w="7371" w:type="dxa"/>
          </w:tcPr>
          <w:p w14:paraId="2ABF5E4D" w14:textId="1634D76F" w:rsidR="003604E0" w:rsidRPr="006E0DBA" w:rsidRDefault="003604E0" w:rsidP="00F01C72">
            <w:pPr>
              <w:pStyle w:val="BodyText"/>
              <w:spacing w:before="80" w:after="80" w:line="264" w:lineRule="auto"/>
              <w:rPr>
                <w:rFonts w:cs="Arial"/>
                <w:color w:val="000000"/>
                <w:szCs w:val="20"/>
              </w:rPr>
            </w:pPr>
            <w:r w:rsidRPr="006E0DBA">
              <w:rPr>
                <w:rFonts w:cs="Arial"/>
                <w:szCs w:val="20"/>
              </w:rPr>
              <w:t>Audit and Risk Management Committee</w:t>
            </w:r>
          </w:p>
        </w:tc>
      </w:tr>
      <w:tr w:rsidR="49BF3F54" w14:paraId="7CEC34B8" w14:textId="77777777" w:rsidTr="00F01C72">
        <w:trPr>
          <w:trHeight w:val="413"/>
        </w:trPr>
        <w:tc>
          <w:tcPr>
            <w:tcW w:w="2268" w:type="dxa"/>
            <w:vAlign w:val="center"/>
          </w:tcPr>
          <w:p w14:paraId="400F36F4" w14:textId="62E2C782" w:rsidR="49BF3F54" w:rsidRDefault="49BF3F54" w:rsidP="006E0DBA">
            <w:pPr>
              <w:pStyle w:val="BodyText"/>
              <w:spacing w:line="264" w:lineRule="auto"/>
              <w:rPr>
                <w:rFonts w:cs="Arial"/>
              </w:rPr>
            </w:pPr>
            <w:r w:rsidRPr="49BF3F54">
              <w:rPr>
                <w:rFonts w:cs="Arial"/>
              </w:rPr>
              <w:t>ARRs</w:t>
            </w:r>
          </w:p>
        </w:tc>
        <w:tc>
          <w:tcPr>
            <w:tcW w:w="7371" w:type="dxa"/>
          </w:tcPr>
          <w:p w14:paraId="7D74A71B" w14:textId="25F44AF6" w:rsidR="49BF3F54" w:rsidRPr="006E0DBA" w:rsidRDefault="49BF3F54" w:rsidP="00F01C72">
            <w:pPr>
              <w:pStyle w:val="BodyText"/>
              <w:spacing w:line="264" w:lineRule="auto"/>
              <w:rPr>
                <w:rFonts w:cs="Arial"/>
                <w:szCs w:val="20"/>
              </w:rPr>
            </w:pPr>
            <w:r w:rsidRPr="006E0DBA">
              <w:rPr>
                <w:rFonts w:cs="Arial"/>
                <w:szCs w:val="20"/>
              </w:rPr>
              <w:t>Annual report requirements for Queensland Government agencies</w:t>
            </w:r>
          </w:p>
        </w:tc>
      </w:tr>
      <w:tr w:rsidR="00FA5FAE" w14:paraId="3D69D27E" w14:textId="77777777" w:rsidTr="00F01C72">
        <w:trPr>
          <w:trHeight w:val="413"/>
        </w:trPr>
        <w:tc>
          <w:tcPr>
            <w:tcW w:w="2268" w:type="dxa"/>
            <w:vAlign w:val="center"/>
          </w:tcPr>
          <w:p w14:paraId="6E014D1B" w14:textId="321443A1" w:rsidR="00FA5FAE" w:rsidRPr="00290DD3" w:rsidRDefault="00FA5FAE" w:rsidP="006E0DBA">
            <w:pPr>
              <w:pStyle w:val="BodyText"/>
              <w:spacing w:before="80" w:after="80" w:line="264" w:lineRule="auto"/>
              <w:rPr>
                <w:rFonts w:cs="Arial"/>
                <w:color w:val="000000"/>
              </w:rPr>
            </w:pPr>
            <w:r w:rsidRPr="49BF3F54">
              <w:rPr>
                <w:rFonts w:cs="Arial"/>
              </w:rPr>
              <w:t>CE</w:t>
            </w:r>
          </w:p>
        </w:tc>
        <w:tc>
          <w:tcPr>
            <w:tcW w:w="7371" w:type="dxa"/>
          </w:tcPr>
          <w:p w14:paraId="42F7F474" w14:textId="4620E8C2" w:rsidR="00FA5FAE" w:rsidRPr="006E0DBA" w:rsidRDefault="00FA5FAE" w:rsidP="00F01C72">
            <w:pPr>
              <w:pStyle w:val="BodyText"/>
              <w:spacing w:before="80" w:after="80" w:line="264" w:lineRule="auto"/>
              <w:rPr>
                <w:rFonts w:cs="Arial"/>
                <w:color w:val="000000"/>
                <w:szCs w:val="20"/>
              </w:rPr>
            </w:pPr>
            <w:r w:rsidRPr="006E0DBA">
              <w:rPr>
                <w:rFonts w:cs="Arial"/>
                <w:szCs w:val="20"/>
              </w:rPr>
              <w:t xml:space="preserve">Chief executive </w:t>
            </w:r>
          </w:p>
        </w:tc>
      </w:tr>
      <w:tr w:rsidR="003604E0" w14:paraId="69799E2A" w14:textId="77777777" w:rsidTr="00F01C72">
        <w:trPr>
          <w:trHeight w:val="413"/>
        </w:trPr>
        <w:tc>
          <w:tcPr>
            <w:tcW w:w="2268" w:type="dxa"/>
            <w:vAlign w:val="center"/>
          </w:tcPr>
          <w:p w14:paraId="0ACCC809" w14:textId="16B47684" w:rsidR="003604E0" w:rsidRPr="00290DD3" w:rsidRDefault="003604E0" w:rsidP="006E0DBA">
            <w:pPr>
              <w:pStyle w:val="BodyText"/>
              <w:spacing w:before="80" w:after="80" w:line="264" w:lineRule="auto"/>
              <w:rPr>
                <w:rFonts w:cs="Arial"/>
                <w:color w:val="000000"/>
              </w:rPr>
            </w:pPr>
            <w:r w:rsidRPr="49BF3F54">
              <w:rPr>
                <w:rFonts w:cs="Arial"/>
              </w:rPr>
              <w:t>CHRO</w:t>
            </w:r>
          </w:p>
        </w:tc>
        <w:tc>
          <w:tcPr>
            <w:tcW w:w="7371" w:type="dxa"/>
          </w:tcPr>
          <w:p w14:paraId="6D22C201" w14:textId="195D567E" w:rsidR="003604E0" w:rsidRPr="006E0DBA" w:rsidRDefault="003604E0" w:rsidP="00F01C72">
            <w:pPr>
              <w:pStyle w:val="BodyText"/>
              <w:spacing w:before="80" w:after="80" w:line="264" w:lineRule="auto"/>
              <w:rPr>
                <w:rFonts w:cs="Arial"/>
                <w:color w:val="000000"/>
                <w:szCs w:val="20"/>
              </w:rPr>
            </w:pPr>
            <w:r w:rsidRPr="006E0DBA">
              <w:rPr>
                <w:rFonts w:cs="Arial"/>
                <w:szCs w:val="20"/>
              </w:rPr>
              <w:t>Chief human resources officer</w:t>
            </w:r>
          </w:p>
        </w:tc>
      </w:tr>
      <w:tr w:rsidR="00B961AE" w14:paraId="32A52914" w14:textId="77777777" w:rsidTr="00F01C72">
        <w:trPr>
          <w:trHeight w:val="413"/>
        </w:trPr>
        <w:tc>
          <w:tcPr>
            <w:tcW w:w="2268" w:type="dxa"/>
            <w:vAlign w:val="center"/>
          </w:tcPr>
          <w:p w14:paraId="6152DCCE" w14:textId="711E17A8" w:rsidR="00B961AE" w:rsidRPr="00290DD3" w:rsidRDefault="00B961AE" w:rsidP="006E0DBA">
            <w:pPr>
              <w:pStyle w:val="BodyText"/>
              <w:spacing w:before="80" w:after="80" w:line="264" w:lineRule="auto"/>
            </w:pPr>
            <w:r w:rsidRPr="49BF3F54">
              <w:rPr>
                <w:rFonts w:cs="Arial"/>
              </w:rPr>
              <w:t>DFV</w:t>
            </w:r>
          </w:p>
        </w:tc>
        <w:tc>
          <w:tcPr>
            <w:tcW w:w="7371" w:type="dxa"/>
          </w:tcPr>
          <w:p w14:paraId="42EDAA25" w14:textId="2A7E726E" w:rsidR="00B961AE" w:rsidRPr="006E0DBA" w:rsidRDefault="00B961AE" w:rsidP="00F01C72">
            <w:pPr>
              <w:pStyle w:val="BodyText"/>
              <w:spacing w:before="80" w:after="80" w:line="264" w:lineRule="auto"/>
              <w:rPr>
                <w:szCs w:val="20"/>
              </w:rPr>
            </w:pPr>
            <w:r w:rsidRPr="006E0DBA">
              <w:rPr>
                <w:rFonts w:cs="Arial"/>
                <w:szCs w:val="20"/>
              </w:rPr>
              <w:t>Domestic and family violence</w:t>
            </w:r>
          </w:p>
        </w:tc>
      </w:tr>
      <w:tr w:rsidR="00B961AE" w14:paraId="6996C4DF" w14:textId="77777777" w:rsidTr="00F01C72">
        <w:trPr>
          <w:trHeight w:val="413"/>
        </w:trPr>
        <w:tc>
          <w:tcPr>
            <w:tcW w:w="2268" w:type="dxa"/>
            <w:vAlign w:val="center"/>
          </w:tcPr>
          <w:p w14:paraId="0525C3BA" w14:textId="07D98579" w:rsidR="00B961AE" w:rsidRPr="00290DD3" w:rsidRDefault="00B961AE" w:rsidP="006E0DBA">
            <w:pPr>
              <w:pStyle w:val="BodyText"/>
              <w:spacing w:before="80" w:after="80" w:line="264" w:lineRule="auto"/>
            </w:pPr>
            <w:r w:rsidRPr="49BF3F54">
              <w:rPr>
                <w:rFonts w:cs="Arial"/>
              </w:rPr>
              <w:t>DPC</w:t>
            </w:r>
          </w:p>
        </w:tc>
        <w:tc>
          <w:tcPr>
            <w:tcW w:w="7371" w:type="dxa"/>
          </w:tcPr>
          <w:p w14:paraId="14D279C9" w14:textId="050600B5" w:rsidR="00B961AE" w:rsidRPr="006E0DBA" w:rsidRDefault="00B961AE" w:rsidP="00F01C72">
            <w:pPr>
              <w:pStyle w:val="BodyText"/>
              <w:spacing w:before="80" w:after="80" w:line="264" w:lineRule="auto"/>
              <w:rPr>
                <w:szCs w:val="20"/>
              </w:rPr>
            </w:pPr>
            <w:r w:rsidRPr="006E0DBA">
              <w:rPr>
                <w:rFonts w:cs="Arial"/>
                <w:szCs w:val="20"/>
              </w:rPr>
              <w:t>Department of the Premier and Cabinet</w:t>
            </w:r>
          </w:p>
        </w:tc>
      </w:tr>
      <w:tr w:rsidR="00925549" w14:paraId="73AC06C9" w14:textId="77777777" w:rsidTr="00F01C72">
        <w:trPr>
          <w:trHeight w:val="413"/>
        </w:trPr>
        <w:tc>
          <w:tcPr>
            <w:tcW w:w="2268" w:type="dxa"/>
            <w:vAlign w:val="center"/>
          </w:tcPr>
          <w:p w14:paraId="5DC6E9A8" w14:textId="6DEFB572" w:rsidR="00925549" w:rsidRPr="00290DD3" w:rsidRDefault="00925549" w:rsidP="006E0DBA">
            <w:pPr>
              <w:pStyle w:val="BodyText"/>
              <w:spacing w:before="80" w:after="80" w:line="264" w:lineRule="auto"/>
              <w:rPr>
                <w:rFonts w:cs="Arial"/>
                <w:color w:val="000000"/>
              </w:rPr>
            </w:pPr>
            <w:r w:rsidRPr="49BF3F54">
              <w:rPr>
                <w:rFonts w:cs="Arial"/>
              </w:rPr>
              <w:t>EEO</w:t>
            </w:r>
          </w:p>
        </w:tc>
        <w:tc>
          <w:tcPr>
            <w:tcW w:w="7371" w:type="dxa"/>
          </w:tcPr>
          <w:p w14:paraId="32FECA84" w14:textId="45AA193F" w:rsidR="00925549" w:rsidRPr="006E0DBA" w:rsidRDefault="00925549" w:rsidP="00F01C72">
            <w:pPr>
              <w:pStyle w:val="BodyText"/>
              <w:spacing w:before="80" w:after="80" w:line="264" w:lineRule="auto"/>
              <w:rPr>
                <w:rFonts w:cs="Arial"/>
                <w:color w:val="000000"/>
                <w:szCs w:val="20"/>
              </w:rPr>
            </w:pPr>
            <w:r w:rsidRPr="006E0DBA">
              <w:rPr>
                <w:rFonts w:cs="Arial"/>
                <w:szCs w:val="20"/>
              </w:rPr>
              <w:t>Equal employment opportunity</w:t>
            </w:r>
          </w:p>
        </w:tc>
      </w:tr>
      <w:tr w:rsidR="00B961AE" w14:paraId="203861FC" w14:textId="77777777" w:rsidTr="00F01C72">
        <w:trPr>
          <w:trHeight w:val="413"/>
        </w:trPr>
        <w:tc>
          <w:tcPr>
            <w:tcW w:w="2268" w:type="dxa"/>
            <w:vAlign w:val="center"/>
          </w:tcPr>
          <w:p w14:paraId="580B8955" w14:textId="2475A7C7" w:rsidR="00B961AE" w:rsidRPr="00290DD3" w:rsidRDefault="00B961AE" w:rsidP="006E0DBA">
            <w:pPr>
              <w:pStyle w:val="BodyText"/>
              <w:spacing w:before="80" w:after="80" w:line="264" w:lineRule="auto"/>
            </w:pPr>
            <w:r w:rsidRPr="49BF3F54">
              <w:rPr>
                <w:rFonts w:cs="Arial"/>
              </w:rPr>
              <w:t>ELT</w:t>
            </w:r>
          </w:p>
        </w:tc>
        <w:tc>
          <w:tcPr>
            <w:tcW w:w="7371" w:type="dxa"/>
          </w:tcPr>
          <w:p w14:paraId="4DA0786A" w14:textId="391D952D" w:rsidR="00B961AE" w:rsidRPr="006E0DBA" w:rsidRDefault="00B961AE" w:rsidP="00F01C72">
            <w:pPr>
              <w:pStyle w:val="BodyText"/>
              <w:spacing w:before="80" w:after="80" w:line="264" w:lineRule="auto"/>
              <w:rPr>
                <w:szCs w:val="20"/>
              </w:rPr>
            </w:pPr>
            <w:r w:rsidRPr="006E0DBA">
              <w:rPr>
                <w:rFonts w:cs="Arial"/>
                <w:szCs w:val="20"/>
              </w:rPr>
              <w:t xml:space="preserve">Executive </w:t>
            </w:r>
            <w:r w:rsidR="00845B72">
              <w:rPr>
                <w:rFonts w:cs="Arial"/>
                <w:szCs w:val="20"/>
              </w:rPr>
              <w:t>Leadership</w:t>
            </w:r>
            <w:r w:rsidRPr="006E0DBA">
              <w:rPr>
                <w:rFonts w:cs="Arial"/>
                <w:szCs w:val="20"/>
              </w:rPr>
              <w:t xml:space="preserve"> Group</w:t>
            </w:r>
          </w:p>
        </w:tc>
      </w:tr>
      <w:tr w:rsidR="00B961AE" w14:paraId="02C86E3F" w14:textId="77777777" w:rsidTr="00F01C72">
        <w:trPr>
          <w:trHeight w:val="413"/>
        </w:trPr>
        <w:tc>
          <w:tcPr>
            <w:tcW w:w="2268" w:type="dxa"/>
            <w:vAlign w:val="center"/>
          </w:tcPr>
          <w:p w14:paraId="2E13D478" w14:textId="397656BE" w:rsidR="00B961AE" w:rsidRPr="00290DD3" w:rsidRDefault="00B961AE" w:rsidP="006E0DBA">
            <w:pPr>
              <w:pStyle w:val="BodyText"/>
              <w:spacing w:before="80" w:after="80" w:line="264" w:lineRule="auto"/>
            </w:pPr>
            <w:r w:rsidRPr="49BF3F54">
              <w:rPr>
                <w:rFonts w:cs="Arial"/>
              </w:rPr>
              <w:t>EMS</w:t>
            </w:r>
          </w:p>
        </w:tc>
        <w:tc>
          <w:tcPr>
            <w:tcW w:w="7371" w:type="dxa"/>
          </w:tcPr>
          <w:p w14:paraId="49CAC3DA" w14:textId="40F7FDA1" w:rsidR="00B961AE" w:rsidRPr="006E0DBA" w:rsidRDefault="00B961AE" w:rsidP="00F01C72">
            <w:pPr>
              <w:pStyle w:val="BodyText"/>
              <w:spacing w:before="80" w:after="80" w:line="264" w:lineRule="auto"/>
              <w:rPr>
                <w:szCs w:val="20"/>
              </w:rPr>
            </w:pPr>
            <w:r w:rsidRPr="006E0DBA">
              <w:rPr>
                <w:rFonts w:cs="Arial"/>
                <w:szCs w:val="20"/>
              </w:rPr>
              <w:t>Employee mobilisation service</w:t>
            </w:r>
          </w:p>
        </w:tc>
      </w:tr>
      <w:tr w:rsidR="49BF3F54" w14:paraId="35846D38" w14:textId="77777777" w:rsidTr="00F01C72">
        <w:trPr>
          <w:trHeight w:val="413"/>
        </w:trPr>
        <w:tc>
          <w:tcPr>
            <w:tcW w:w="2268" w:type="dxa"/>
          </w:tcPr>
          <w:p w14:paraId="272000B7" w14:textId="1BD6430B" w:rsidR="49BF3F54" w:rsidRDefault="49BF3F54" w:rsidP="49BF3F54">
            <w:pPr>
              <w:pStyle w:val="BodyText"/>
              <w:spacing w:line="264" w:lineRule="auto"/>
              <w:rPr>
                <w:rFonts w:cs="Arial"/>
              </w:rPr>
            </w:pPr>
            <w:r w:rsidRPr="49BF3F54">
              <w:rPr>
                <w:rFonts w:cs="Arial"/>
              </w:rPr>
              <w:t>FAA</w:t>
            </w:r>
          </w:p>
        </w:tc>
        <w:tc>
          <w:tcPr>
            <w:tcW w:w="7371" w:type="dxa"/>
          </w:tcPr>
          <w:p w14:paraId="1A349C4D" w14:textId="5D9AFD6E" w:rsidR="49BF3F54" w:rsidRPr="006E0DBA" w:rsidRDefault="49BF3F54" w:rsidP="00F01C72">
            <w:pPr>
              <w:pStyle w:val="BodyText"/>
              <w:spacing w:line="264" w:lineRule="auto"/>
              <w:rPr>
                <w:rFonts w:cs="Arial"/>
                <w:i/>
                <w:iCs/>
                <w:szCs w:val="20"/>
              </w:rPr>
            </w:pPr>
            <w:r w:rsidRPr="006E0DBA">
              <w:rPr>
                <w:rFonts w:cs="Arial"/>
                <w:i/>
                <w:iCs/>
                <w:szCs w:val="20"/>
              </w:rPr>
              <w:t>Financial Accountability Act 2009</w:t>
            </w:r>
          </w:p>
        </w:tc>
      </w:tr>
      <w:tr w:rsidR="00FA5FAE" w14:paraId="5078D9EC" w14:textId="77777777" w:rsidTr="00F01C72">
        <w:trPr>
          <w:trHeight w:val="413"/>
        </w:trPr>
        <w:tc>
          <w:tcPr>
            <w:tcW w:w="2268" w:type="dxa"/>
          </w:tcPr>
          <w:p w14:paraId="2B3BAC07" w14:textId="1945AC42" w:rsidR="00FA5FAE" w:rsidRPr="00290DD3" w:rsidRDefault="00FA5FAE" w:rsidP="00B10341">
            <w:pPr>
              <w:pStyle w:val="BodyText"/>
              <w:spacing w:before="80" w:after="80" w:line="264" w:lineRule="auto"/>
              <w:rPr>
                <w:rFonts w:cs="Arial"/>
                <w:color w:val="000000"/>
              </w:rPr>
            </w:pPr>
            <w:r w:rsidRPr="49BF3F54">
              <w:rPr>
                <w:rFonts w:cs="Arial"/>
              </w:rPr>
              <w:t>FBT</w:t>
            </w:r>
          </w:p>
        </w:tc>
        <w:tc>
          <w:tcPr>
            <w:tcW w:w="7371" w:type="dxa"/>
          </w:tcPr>
          <w:p w14:paraId="2B4350A0" w14:textId="71BB6F09" w:rsidR="00FA5FAE" w:rsidRPr="006E0DBA" w:rsidRDefault="00FA5FAE" w:rsidP="00F01C72">
            <w:pPr>
              <w:pStyle w:val="BodyText"/>
              <w:spacing w:before="80" w:after="80" w:line="264" w:lineRule="auto"/>
              <w:rPr>
                <w:rFonts w:cs="Arial"/>
                <w:color w:val="000000"/>
                <w:szCs w:val="20"/>
              </w:rPr>
            </w:pPr>
            <w:r w:rsidRPr="006E0DBA">
              <w:rPr>
                <w:rFonts w:cs="Arial"/>
                <w:szCs w:val="20"/>
              </w:rPr>
              <w:t>Fringe Benefits Tax</w:t>
            </w:r>
          </w:p>
        </w:tc>
      </w:tr>
      <w:tr w:rsidR="49BF3F54" w14:paraId="7E298674" w14:textId="77777777" w:rsidTr="00F01C72">
        <w:trPr>
          <w:trHeight w:val="413"/>
        </w:trPr>
        <w:tc>
          <w:tcPr>
            <w:tcW w:w="2268" w:type="dxa"/>
          </w:tcPr>
          <w:p w14:paraId="6E042912" w14:textId="7D0280E8" w:rsidR="49BF3F54" w:rsidRDefault="49BF3F54" w:rsidP="49BF3F54">
            <w:pPr>
              <w:pStyle w:val="BodyText"/>
              <w:spacing w:line="264" w:lineRule="auto"/>
              <w:rPr>
                <w:rFonts w:cs="Arial"/>
              </w:rPr>
            </w:pPr>
            <w:r w:rsidRPr="49BF3F54">
              <w:rPr>
                <w:rFonts w:cs="Arial"/>
              </w:rPr>
              <w:t>FPMS</w:t>
            </w:r>
          </w:p>
        </w:tc>
        <w:tc>
          <w:tcPr>
            <w:tcW w:w="7371" w:type="dxa"/>
          </w:tcPr>
          <w:p w14:paraId="30C75244" w14:textId="67D4F1A5" w:rsidR="49BF3F54" w:rsidRPr="006E0DBA" w:rsidRDefault="49BF3F54" w:rsidP="00F01C72">
            <w:pPr>
              <w:pStyle w:val="BodyText"/>
              <w:spacing w:line="264" w:lineRule="auto"/>
              <w:rPr>
                <w:rFonts w:cs="Arial"/>
                <w:i/>
                <w:iCs/>
                <w:szCs w:val="20"/>
              </w:rPr>
            </w:pPr>
            <w:r w:rsidRPr="006E0DBA">
              <w:rPr>
                <w:rFonts w:cs="Arial"/>
                <w:i/>
                <w:iCs/>
                <w:szCs w:val="20"/>
              </w:rPr>
              <w:t>Financial and Performance Management Standard 2019</w:t>
            </w:r>
          </w:p>
        </w:tc>
      </w:tr>
      <w:tr w:rsidR="00B961AE" w14:paraId="54D9480D" w14:textId="77777777" w:rsidTr="00F01C72">
        <w:trPr>
          <w:trHeight w:val="413"/>
        </w:trPr>
        <w:tc>
          <w:tcPr>
            <w:tcW w:w="2268" w:type="dxa"/>
          </w:tcPr>
          <w:p w14:paraId="5E3A1783" w14:textId="04F7DA38" w:rsidR="00B961AE" w:rsidRPr="00290DD3" w:rsidRDefault="00B961AE" w:rsidP="00B10341">
            <w:pPr>
              <w:pStyle w:val="BodyText"/>
              <w:spacing w:before="80" w:after="80" w:line="264" w:lineRule="auto"/>
            </w:pPr>
            <w:r w:rsidRPr="49BF3F54">
              <w:rPr>
                <w:rFonts w:cs="Arial"/>
              </w:rPr>
              <w:t>FTE</w:t>
            </w:r>
          </w:p>
        </w:tc>
        <w:tc>
          <w:tcPr>
            <w:tcW w:w="7371" w:type="dxa"/>
          </w:tcPr>
          <w:p w14:paraId="75A4F85F" w14:textId="337B3C8F" w:rsidR="00B961AE" w:rsidRPr="006E0DBA" w:rsidRDefault="00B961AE" w:rsidP="00F01C72">
            <w:pPr>
              <w:pStyle w:val="BodyText"/>
              <w:spacing w:before="80" w:after="80" w:line="264" w:lineRule="auto"/>
              <w:rPr>
                <w:szCs w:val="20"/>
              </w:rPr>
            </w:pPr>
            <w:r w:rsidRPr="006E0DBA">
              <w:rPr>
                <w:rFonts w:cs="Arial"/>
                <w:szCs w:val="20"/>
              </w:rPr>
              <w:t>Full-time equivalent</w:t>
            </w:r>
          </w:p>
        </w:tc>
      </w:tr>
      <w:tr w:rsidR="00FA5FAE" w14:paraId="6113EE95" w14:textId="77777777" w:rsidTr="00F01C72">
        <w:trPr>
          <w:trHeight w:val="413"/>
        </w:trPr>
        <w:tc>
          <w:tcPr>
            <w:tcW w:w="2268" w:type="dxa"/>
          </w:tcPr>
          <w:p w14:paraId="385A17E4" w14:textId="40786BCC" w:rsidR="00FA5FAE" w:rsidRPr="00290DD3" w:rsidRDefault="00FA5FAE" w:rsidP="00B10341">
            <w:pPr>
              <w:pStyle w:val="BodyText"/>
              <w:spacing w:before="80" w:after="80" w:line="264" w:lineRule="auto"/>
              <w:rPr>
                <w:rFonts w:cs="Arial"/>
                <w:color w:val="000000"/>
              </w:rPr>
            </w:pPr>
            <w:r w:rsidRPr="49BF3F54">
              <w:rPr>
                <w:rFonts w:cs="Arial"/>
              </w:rPr>
              <w:t>GST</w:t>
            </w:r>
          </w:p>
        </w:tc>
        <w:tc>
          <w:tcPr>
            <w:tcW w:w="7371" w:type="dxa"/>
          </w:tcPr>
          <w:p w14:paraId="73536343" w14:textId="7154FBAC" w:rsidR="00FA5FAE" w:rsidRPr="006E0DBA" w:rsidRDefault="00FA5FAE" w:rsidP="00F01C72">
            <w:pPr>
              <w:pStyle w:val="BodyText"/>
              <w:spacing w:before="80" w:after="80" w:line="264" w:lineRule="auto"/>
              <w:rPr>
                <w:rFonts w:cs="Arial"/>
                <w:color w:val="000000"/>
                <w:szCs w:val="20"/>
              </w:rPr>
            </w:pPr>
            <w:r w:rsidRPr="006E0DBA">
              <w:rPr>
                <w:rFonts w:cs="Arial"/>
                <w:szCs w:val="20"/>
              </w:rPr>
              <w:t>Goods and Services Tax</w:t>
            </w:r>
          </w:p>
        </w:tc>
      </w:tr>
      <w:tr w:rsidR="00B961AE" w14:paraId="3DB5AD09" w14:textId="77777777" w:rsidTr="00F01C72">
        <w:trPr>
          <w:trHeight w:val="413"/>
        </w:trPr>
        <w:tc>
          <w:tcPr>
            <w:tcW w:w="2268" w:type="dxa"/>
          </w:tcPr>
          <w:p w14:paraId="07FF957C" w14:textId="19CF05DB" w:rsidR="00B961AE" w:rsidRPr="00290DD3" w:rsidRDefault="00B961AE" w:rsidP="00B10341">
            <w:pPr>
              <w:pStyle w:val="BodyText"/>
              <w:spacing w:before="80" w:after="80" w:line="264" w:lineRule="auto"/>
            </w:pPr>
            <w:r w:rsidRPr="49BF3F54">
              <w:rPr>
                <w:rFonts w:cs="Arial"/>
              </w:rPr>
              <w:t>HR</w:t>
            </w:r>
          </w:p>
        </w:tc>
        <w:tc>
          <w:tcPr>
            <w:tcW w:w="7371" w:type="dxa"/>
          </w:tcPr>
          <w:p w14:paraId="7316688C" w14:textId="3620561C" w:rsidR="00B961AE" w:rsidRPr="006E0DBA" w:rsidRDefault="00B961AE" w:rsidP="00F01C72">
            <w:pPr>
              <w:pStyle w:val="BodyText"/>
              <w:spacing w:before="80" w:after="80" w:line="264" w:lineRule="auto"/>
              <w:rPr>
                <w:szCs w:val="20"/>
              </w:rPr>
            </w:pPr>
            <w:r w:rsidRPr="006E0DBA">
              <w:rPr>
                <w:rFonts w:cs="Arial"/>
                <w:szCs w:val="20"/>
              </w:rPr>
              <w:t>Human resources</w:t>
            </w:r>
          </w:p>
        </w:tc>
      </w:tr>
      <w:tr w:rsidR="003604E0" w14:paraId="2FB54317" w14:textId="77777777" w:rsidTr="00F01C72">
        <w:trPr>
          <w:trHeight w:val="413"/>
        </w:trPr>
        <w:tc>
          <w:tcPr>
            <w:tcW w:w="2268" w:type="dxa"/>
          </w:tcPr>
          <w:p w14:paraId="5EE391CF" w14:textId="578634B4" w:rsidR="003604E0" w:rsidRPr="00290DD3" w:rsidRDefault="003604E0" w:rsidP="00B10341">
            <w:pPr>
              <w:pStyle w:val="BodyText"/>
              <w:spacing w:before="80" w:after="80" w:line="264" w:lineRule="auto"/>
              <w:rPr>
                <w:rFonts w:cs="Arial"/>
                <w:color w:val="000000"/>
              </w:rPr>
            </w:pPr>
            <w:r w:rsidRPr="49BF3F54">
              <w:rPr>
                <w:rFonts w:cs="Arial"/>
              </w:rPr>
              <w:t>ICT</w:t>
            </w:r>
          </w:p>
        </w:tc>
        <w:tc>
          <w:tcPr>
            <w:tcW w:w="7371" w:type="dxa"/>
          </w:tcPr>
          <w:p w14:paraId="5B5D91F5" w14:textId="52A0D2E1" w:rsidR="003604E0" w:rsidRPr="006E0DBA" w:rsidRDefault="003604E0" w:rsidP="00F01C72">
            <w:pPr>
              <w:pStyle w:val="BodyText"/>
              <w:spacing w:before="80" w:after="80" w:line="264" w:lineRule="auto"/>
              <w:rPr>
                <w:rFonts w:cs="Arial"/>
                <w:color w:val="000000"/>
                <w:szCs w:val="20"/>
              </w:rPr>
            </w:pPr>
            <w:r w:rsidRPr="006E0DBA">
              <w:rPr>
                <w:rFonts w:cs="Arial"/>
                <w:szCs w:val="20"/>
              </w:rPr>
              <w:t>Information communications and technology</w:t>
            </w:r>
          </w:p>
        </w:tc>
      </w:tr>
      <w:tr w:rsidR="003604E0" w14:paraId="4A1785ED" w14:textId="77777777" w:rsidTr="00F01C72">
        <w:trPr>
          <w:trHeight w:val="413"/>
        </w:trPr>
        <w:tc>
          <w:tcPr>
            <w:tcW w:w="2268" w:type="dxa"/>
          </w:tcPr>
          <w:p w14:paraId="482E335E" w14:textId="7577648A" w:rsidR="003604E0" w:rsidRPr="00290DD3" w:rsidRDefault="003604E0" w:rsidP="00B10341">
            <w:pPr>
              <w:pStyle w:val="BodyText"/>
              <w:spacing w:before="80" w:after="80" w:line="264" w:lineRule="auto"/>
            </w:pPr>
            <w:r>
              <w:t>IPAA</w:t>
            </w:r>
          </w:p>
        </w:tc>
        <w:tc>
          <w:tcPr>
            <w:tcW w:w="7371" w:type="dxa"/>
          </w:tcPr>
          <w:p w14:paraId="2F758261" w14:textId="51AB0C97" w:rsidR="003604E0" w:rsidRPr="006E0DBA" w:rsidRDefault="003604E0" w:rsidP="00F01C72">
            <w:pPr>
              <w:pStyle w:val="BodyText"/>
              <w:spacing w:before="80" w:after="80" w:line="264" w:lineRule="auto"/>
              <w:rPr>
                <w:szCs w:val="20"/>
              </w:rPr>
            </w:pPr>
            <w:r w:rsidRPr="006E0DBA">
              <w:rPr>
                <w:szCs w:val="20"/>
              </w:rPr>
              <w:t>Institute of Public Administration Australia</w:t>
            </w:r>
          </w:p>
        </w:tc>
      </w:tr>
      <w:tr w:rsidR="00FA5FAE" w14:paraId="4FCDB4BF" w14:textId="77777777" w:rsidTr="00F01C72">
        <w:trPr>
          <w:trHeight w:val="413"/>
        </w:trPr>
        <w:tc>
          <w:tcPr>
            <w:tcW w:w="2268" w:type="dxa"/>
          </w:tcPr>
          <w:p w14:paraId="407F8262" w14:textId="10F91855" w:rsidR="00FA5FAE" w:rsidRPr="00290DD3" w:rsidRDefault="00FA5FAE" w:rsidP="00B10341">
            <w:pPr>
              <w:pStyle w:val="BodyText"/>
              <w:spacing w:before="80" w:after="80" w:line="264" w:lineRule="auto"/>
              <w:rPr>
                <w:rFonts w:cs="Arial"/>
                <w:color w:val="000000"/>
              </w:rPr>
            </w:pPr>
            <w:r w:rsidRPr="49BF3F54">
              <w:rPr>
                <w:rFonts w:cs="Arial"/>
              </w:rPr>
              <w:t>KMP</w:t>
            </w:r>
          </w:p>
        </w:tc>
        <w:tc>
          <w:tcPr>
            <w:tcW w:w="7371" w:type="dxa"/>
          </w:tcPr>
          <w:p w14:paraId="76B9C529" w14:textId="0AAA65D3" w:rsidR="00FA5FAE" w:rsidRPr="006E0DBA" w:rsidRDefault="00FA5FAE" w:rsidP="00F01C72">
            <w:pPr>
              <w:pStyle w:val="BodyText"/>
              <w:spacing w:before="80" w:after="80" w:line="264" w:lineRule="auto"/>
              <w:rPr>
                <w:szCs w:val="20"/>
              </w:rPr>
            </w:pPr>
            <w:r w:rsidRPr="006E0DBA">
              <w:rPr>
                <w:szCs w:val="20"/>
              </w:rPr>
              <w:t>Key management personnel</w:t>
            </w:r>
          </w:p>
        </w:tc>
      </w:tr>
      <w:tr w:rsidR="003604E0" w14:paraId="227B06B8" w14:textId="77777777" w:rsidTr="00F01C72">
        <w:trPr>
          <w:trHeight w:val="413"/>
        </w:trPr>
        <w:tc>
          <w:tcPr>
            <w:tcW w:w="2268" w:type="dxa"/>
          </w:tcPr>
          <w:p w14:paraId="5747B5BE" w14:textId="033B10E6" w:rsidR="003604E0" w:rsidRPr="00290DD3" w:rsidRDefault="003604E0" w:rsidP="00B10341">
            <w:pPr>
              <w:pStyle w:val="BodyText"/>
              <w:spacing w:before="80" w:after="80" w:line="264" w:lineRule="auto"/>
              <w:rPr>
                <w:rFonts w:cs="Arial"/>
                <w:color w:val="000000"/>
              </w:rPr>
            </w:pPr>
            <w:r w:rsidRPr="49BF3F54">
              <w:rPr>
                <w:rFonts w:cs="Arial"/>
              </w:rPr>
              <w:t>LEAD4QLD</w:t>
            </w:r>
          </w:p>
        </w:tc>
        <w:tc>
          <w:tcPr>
            <w:tcW w:w="7371" w:type="dxa"/>
          </w:tcPr>
          <w:p w14:paraId="75142FCF" w14:textId="7C312620" w:rsidR="003604E0" w:rsidRPr="006E0DBA" w:rsidRDefault="003604E0" w:rsidP="00F01C72">
            <w:pPr>
              <w:pStyle w:val="BodyText"/>
              <w:spacing w:before="80" w:after="80" w:line="264" w:lineRule="auto"/>
              <w:rPr>
                <w:szCs w:val="20"/>
              </w:rPr>
            </w:pPr>
            <w:r w:rsidRPr="006E0DBA">
              <w:rPr>
                <w:szCs w:val="20"/>
              </w:rPr>
              <w:t>Leadership assessment and development program</w:t>
            </w:r>
          </w:p>
        </w:tc>
      </w:tr>
      <w:tr w:rsidR="00FA5FAE" w14:paraId="647D29D9" w14:textId="77777777" w:rsidTr="00F01C72">
        <w:trPr>
          <w:trHeight w:val="413"/>
        </w:trPr>
        <w:tc>
          <w:tcPr>
            <w:tcW w:w="2268" w:type="dxa"/>
          </w:tcPr>
          <w:p w14:paraId="78B15B40" w14:textId="24802E4D" w:rsidR="00FA5FAE" w:rsidRPr="00290DD3" w:rsidRDefault="00FA5FAE" w:rsidP="00B10341">
            <w:pPr>
              <w:pStyle w:val="BodyText"/>
              <w:spacing w:before="80" w:after="80" w:line="264" w:lineRule="auto"/>
              <w:rPr>
                <w:rFonts w:cs="Arial"/>
                <w:color w:val="000000"/>
              </w:rPr>
            </w:pPr>
            <w:r w:rsidRPr="49BF3F54">
              <w:rPr>
                <w:rFonts w:cs="Arial"/>
              </w:rPr>
              <w:t>LSL</w:t>
            </w:r>
          </w:p>
        </w:tc>
        <w:tc>
          <w:tcPr>
            <w:tcW w:w="7371" w:type="dxa"/>
          </w:tcPr>
          <w:p w14:paraId="4706A1E2" w14:textId="0FECBA8E" w:rsidR="00FA5FAE" w:rsidRPr="006E0DBA" w:rsidRDefault="00FA5FAE" w:rsidP="00F01C72">
            <w:pPr>
              <w:pStyle w:val="BodyText"/>
              <w:spacing w:before="80" w:after="80" w:line="264" w:lineRule="auto"/>
              <w:rPr>
                <w:szCs w:val="20"/>
              </w:rPr>
            </w:pPr>
            <w:r w:rsidRPr="006E0DBA">
              <w:rPr>
                <w:szCs w:val="20"/>
              </w:rPr>
              <w:t>Long service leave</w:t>
            </w:r>
          </w:p>
        </w:tc>
      </w:tr>
      <w:tr w:rsidR="003604E0" w14:paraId="0B7C1700" w14:textId="77777777" w:rsidTr="00F01C72">
        <w:trPr>
          <w:trHeight w:val="413"/>
        </w:trPr>
        <w:tc>
          <w:tcPr>
            <w:tcW w:w="2268" w:type="dxa"/>
          </w:tcPr>
          <w:p w14:paraId="39FFBFEE" w14:textId="20107A66" w:rsidR="003604E0" w:rsidRPr="00290DD3" w:rsidRDefault="003604E0" w:rsidP="00B10341">
            <w:pPr>
              <w:pStyle w:val="BodyText"/>
              <w:spacing w:before="80" w:after="80" w:line="264" w:lineRule="auto"/>
              <w:rPr>
                <w:rFonts w:cs="Arial"/>
                <w:color w:val="000000"/>
              </w:rPr>
            </w:pPr>
            <w:r w:rsidRPr="49BF3F54">
              <w:rPr>
                <w:rFonts w:cs="Arial"/>
              </w:rPr>
              <w:t>MOHRI</w:t>
            </w:r>
          </w:p>
        </w:tc>
        <w:tc>
          <w:tcPr>
            <w:tcW w:w="7371" w:type="dxa"/>
          </w:tcPr>
          <w:p w14:paraId="2372F05E" w14:textId="61D1DA9E" w:rsidR="003604E0" w:rsidRPr="006E0DBA" w:rsidRDefault="003604E0" w:rsidP="00F01C72">
            <w:pPr>
              <w:pStyle w:val="BodyText"/>
              <w:spacing w:before="80" w:after="80" w:line="264" w:lineRule="auto"/>
              <w:rPr>
                <w:rFonts w:cs="Arial"/>
                <w:color w:val="000000"/>
                <w:szCs w:val="20"/>
              </w:rPr>
            </w:pPr>
            <w:r w:rsidRPr="006E0DBA">
              <w:rPr>
                <w:szCs w:val="20"/>
              </w:rPr>
              <w:t>Minimum Obligatory Human Resource Information</w:t>
            </w:r>
          </w:p>
        </w:tc>
      </w:tr>
      <w:tr w:rsidR="003604E0" w14:paraId="048769FA" w14:textId="77777777" w:rsidTr="00F01C72">
        <w:trPr>
          <w:trHeight w:val="413"/>
        </w:trPr>
        <w:tc>
          <w:tcPr>
            <w:tcW w:w="2268" w:type="dxa"/>
          </w:tcPr>
          <w:p w14:paraId="11297446" w14:textId="17FB8766" w:rsidR="003604E0" w:rsidRPr="00290DD3" w:rsidRDefault="003604E0" w:rsidP="00B10341">
            <w:pPr>
              <w:pStyle w:val="BodyText"/>
              <w:spacing w:before="80" w:after="80" w:line="264" w:lineRule="auto"/>
            </w:pPr>
            <w:r w:rsidRPr="49BF3F54">
              <w:rPr>
                <w:rFonts w:cs="Arial"/>
              </w:rPr>
              <w:t>OIR</w:t>
            </w:r>
          </w:p>
        </w:tc>
        <w:tc>
          <w:tcPr>
            <w:tcW w:w="7371" w:type="dxa"/>
          </w:tcPr>
          <w:p w14:paraId="7E5E58F3" w14:textId="278602A9" w:rsidR="003604E0" w:rsidRPr="006E0DBA" w:rsidRDefault="003604E0" w:rsidP="00F01C72">
            <w:pPr>
              <w:pStyle w:val="BodyText"/>
              <w:spacing w:before="80" w:after="80" w:line="264" w:lineRule="auto"/>
              <w:rPr>
                <w:szCs w:val="20"/>
              </w:rPr>
            </w:pPr>
            <w:r w:rsidRPr="006E0DBA">
              <w:rPr>
                <w:rFonts w:cs="Arial"/>
                <w:szCs w:val="20"/>
              </w:rPr>
              <w:t>Office of Industrial Relations</w:t>
            </w:r>
          </w:p>
        </w:tc>
      </w:tr>
      <w:tr w:rsidR="003B0DEC" w14:paraId="09BF27F7" w14:textId="77777777" w:rsidTr="00F01C72">
        <w:trPr>
          <w:trHeight w:val="413"/>
        </w:trPr>
        <w:tc>
          <w:tcPr>
            <w:tcW w:w="2268" w:type="dxa"/>
          </w:tcPr>
          <w:p w14:paraId="196CAF6D" w14:textId="22CC2A7E" w:rsidR="003B0DEC" w:rsidRPr="00290DD3" w:rsidRDefault="003B0DEC" w:rsidP="00B10341">
            <w:pPr>
              <w:pStyle w:val="BodyText"/>
              <w:spacing w:before="80" w:after="80" w:line="264" w:lineRule="auto"/>
              <w:rPr>
                <w:rFonts w:cs="Arial"/>
                <w:color w:val="000000"/>
              </w:rPr>
            </w:pPr>
            <w:r w:rsidRPr="49BF3F54">
              <w:rPr>
                <w:rFonts w:cs="Arial"/>
              </w:rPr>
              <w:t>PSE Act</w:t>
            </w:r>
          </w:p>
        </w:tc>
        <w:tc>
          <w:tcPr>
            <w:tcW w:w="7371" w:type="dxa"/>
          </w:tcPr>
          <w:p w14:paraId="7992A489" w14:textId="0D86D754" w:rsidR="003B0DEC" w:rsidRPr="006E0DBA" w:rsidRDefault="003B0DEC" w:rsidP="00F01C72">
            <w:pPr>
              <w:pStyle w:val="BodyText"/>
              <w:spacing w:before="80" w:after="80" w:line="264" w:lineRule="auto"/>
              <w:rPr>
                <w:rFonts w:cs="Arial"/>
                <w:color w:val="000000"/>
                <w:szCs w:val="20"/>
              </w:rPr>
            </w:pPr>
            <w:r w:rsidRPr="006E0DBA">
              <w:rPr>
                <w:i/>
                <w:szCs w:val="20"/>
              </w:rPr>
              <w:t>Public Sector Ethics Act 1994</w:t>
            </w:r>
          </w:p>
        </w:tc>
      </w:tr>
      <w:tr w:rsidR="003604E0" w14:paraId="748DD130" w14:textId="77777777" w:rsidTr="00F01C72">
        <w:trPr>
          <w:trHeight w:val="413"/>
        </w:trPr>
        <w:tc>
          <w:tcPr>
            <w:tcW w:w="2268" w:type="dxa"/>
          </w:tcPr>
          <w:p w14:paraId="6E1B7DCD" w14:textId="5ABF4B6C" w:rsidR="003604E0" w:rsidRPr="00290DD3" w:rsidRDefault="003604E0" w:rsidP="00B10341">
            <w:pPr>
              <w:pStyle w:val="BodyText"/>
              <w:spacing w:before="80" w:after="80" w:line="264" w:lineRule="auto"/>
            </w:pPr>
            <w:r w:rsidRPr="49BF3F54">
              <w:rPr>
                <w:rFonts w:cs="Arial"/>
              </w:rPr>
              <w:t>QAO</w:t>
            </w:r>
          </w:p>
        </w:tc>
        <w:tc>
          <w:tcPr>
            <w:tcW w:w="7371" w:type="dxa"/>
          </w:tcPr>
          <w:p w14:paraId="2FB60295" w14:textId="77BD4F1D" w:rsidR="003604E0" w:rsidRPr="006E0DBA" w:rsidRDefault="003604E0" w:rsidP="00F01C72">
            <w:pPr>
              <w:pStyle w:val="BodyText"/>
              <w:spacing w:before="80" w:after="80" w:line="264" w:lineRule="auto"/>
              <w:rPr>
                <w:szCs w:val="20"/>
              </w:rPr>
            </w:pPr>
            <w:r w:rsidRPr="006E0DBA">
              <w:rPr>
                <w:rFonts w:cs="Arial"/>
                <w:szCs w:val="20"/>
              </w:rPr>
              <w:t>Queensland Audit Office</w:t>
            </w:r>
          </w:p>
        </w:tc>
      </w:tr>
      <w:tr w:rsidR="00FA5FAE" w14:paraId="32E4D136" w14:textId="77777777" w:rsidTr="00F01C72">
        <w:trPr>
          <w:trHeight w:val="413"/>
        </w:trPr>
        <w:tc>
          <w:tcPr>
            <w:tcW w:w="2268" w:type="dxa"/>
          </w:tcPr>
          <w:p w14:paraId="0FC0D7BC" w14:textId="49CD4186" w:rsidR="00FA5FAE" w:rsidRPr="00290DD3" w:rsidRDefault="00FA5FAE" w:rsidP="00B10341">
            <w:pPr>
              <w:pStyle w:val="BodyText"/>
              <w:spacing w:before="80" w:after="80" w:line="264" w:lineRule="auto"/>
              <w:rPr>
                <w:rFonts w:cs="Arial"/>
                <w:color w:val="000000"/>
              </w:rPr>
            </w:pPr>
            <w:r w:rsidRPr="49BF3F54">
              <w:rPr>
                <w:rFonts w:cs="Arial"/>
              </w:rPr>
              <w:t>QGIF</w:t>
            </w:r>
          </w:p>
        </w:tc>
        <w:tc>
          <w:tcPr>
            <w:tcW w:w="7371" w:type="dxa"/>
          </w:tcPr>
          <w:p w14:paraId="74210C61" w14:textId="5292850B" w:rsidR="00FA5FAE" w:rsidRPr="006E0DBA" w:rsidRDefault="00FA5FAE" w:rsidP="00F01C72">
            <w:pPr>
              <w:pStyle w:val="BodyText"/>
              <w:spacing w:before="80" w:after="80" w:line="264" w:lineRule="auto"/>
              <w:rPr>
                <w:rFonts w:cs="Arial"/>
                <w:color w:val="000000"/>
                <w:szCs w:val="20"/>
              </w:rPr>
            </w:pPr>
            <w:r w:rsidRPr="006E0DBA">
              <w:rPr>
                <w:rFonts w:cs="Arial"/>
                <w:szCs w:val="20"/>
              </w:rPr>
              <w:t>Queensland Government Insurance Fund</w:t>
            </w:r>
          </w:p>
        </w:tc>
      </w:tr>
      <w:tr w:rsidR="003604E0" w14:paraId="7D0FCD5D" w14:textId="77777777" w:rsidTr="00F01C72">
        <w:trPr>
          <w:trHeight w:val="413"/>
        </w:trPr>
        <w:tc>
          <w:tcPr>
            <w:tcW w:w="2268" w:type="dxa"/>
          </w:tcPr>
          <w:p w14:paraId="31F98B6E" w14:textId="75CA0AF6" w:rsidR="003604E0" w:rsidRPr="00290DD3" w:rsidRDefault="003604E0" w:rsidP="00B10341">
            <w:pPr>
              <w:pStyle w:val="BodyText"/>
              <w:spacing w:before="80" w:after="80" w:line="264" w:lineRule="auto"/>
            </w:pPr>
            <w:r w:rsidRPr="49BF3F54">
              <w:rPr>
                <w:rFonts w:cs="Arial"/>
              </w:rPr>
              <w:t>QT</w:t>
            </w:r>
          </w:p>
        </w:tc>
        <w:tc>
          <w:tcPr>
            <w:tcW w:w="7371" w:type="dxa"/>
          </w:tcPr>
          <w:p w14:paraId="4D66D540" w14:textId="63136EEF" w:rsidR="003604E0" w:rsidRPr="006E0DBA" w:rsidRDefault="003604E0" w:rsidP="00F01C72">
            <w:pPr>
              <w:pStyle w:val="BodyText"/>
              <w:spacing w:before="80" w:after="80" w:line="264" w:lineRule="auto"/>
              <w:rPr>
                <w:szCs w:val="20"/>
              </w:rPr>
            </w:pPr>
            <w:r w:rsidRPr="006E0DBA">
              <w:rPr>
                <w:rFonts w:cs="Arial"/>
                <w:szCs w:val="20"/>
              </w:rPr>
              <w:t>Queensland Treasury</w:t>
            </w:r>
          </w:p>
        </w:tc>
      </w:tr>
      <w:tr w:rsidR="00496775" w14:paraId="7FA050E0" w14:textId="77777777" w:rsidTr="00F01C72">
        <w:trPr>
          <w:trHeight w:val="413"/>
        </w:trPr>
        <w:tc>
          <w:tcPr>
            <w:tcW w:w="2268" w:type="dxa"/>
          </w:tcPr>
          <w:p w14:paraId="709AB837" w14:textId="1B6345CC" w:rsidR="00496775" w:rsidRPr="00290DD3" w:rsidRDefault="00496775" w:rsidP="00B10341">
            <w:pPr>
              <w:pStyle w:val="BodyText"/>
              <w:spacing w:before="80" w:after="80" w:line="264" w:lineRule="auto"/>
              <w:rPr>
                <w:rFonts w:cs="Arial"/>
                <w:color w:val="000000"/>
              </w:rPr>
            </w:pPr>
            <w:r w:rsidRPr="49BF3F54">
              <w:rPr>
                <w:rFonts w:cs="Arial"/>
              </w:rPr>
              <w:t>QUT</w:t>
            </w:r>
          </w:p>
        </w:tc>
        <w:tc>
          <w:tcPr>
            <w:tcW w:w="7371" w:type="dxa"/>
          </w:tcPr>
          <w:p w14:paraId="7A99F6DC" w14:textId="3AA33AFE" w:rsidR="00496775" w:rsidRPr="006E0DBA" w:rsidRDefault="00496775" w:rsidP="00F01C72">
            <w:pPr>
              <w:pStyle w:val="BodyText"/>
              <w:spacing w:before="80" w:after="80" w:line="264" w:lineRule="auto"/>
              <w:rPr>
                <w:rFonts w:cs="Arial"/>
                <w:color w:val="000000"/>
                <w:szCs w:val="20"/>
              </w:rPr>
            </w:pPr>
            <w:r w:rsidRPr="006E0DBA">
              <w:rPr>
                <w:rFonts w:cs="Arial"/>
                <w:szCs w:val="20"/>
              </w:rPr>
              <w:t>Queensland University of Technology</w:t>
            </w:r>
          </w:p>
        </w:tc>
      </w:tr>
      <w:tr w:rsidR="003604E0" w14:paraId="74291944" w14:textId="77777777" w:rsidTr="006E0DBA">
        <w:tc>
          <w:tcPr>
            <w:tcW w:w="2268" w:type="dxa"/>
          </w:tcPr>
          <w:p w14:paraId="70099397" w14:textId="0ABAB1BC" w:rsidR="003604E0" w:rsidRPr="00290DD3" w:rsidRDefault="003604E0" w:rsidP="00B10341">
            <w:pPr>
              <w:pStyle w:val="BodyText"/>
              <w:spacing w:before="80" w:after="80" w:line="264" w:lineRule="auto"/>
              <w:rPr>
                <w:rFonts w:cs="Arial"/>
                <w:color w:val="000000"/>
              </w:rPr>
            </w:pPr>
            <w:r w:rsidRPr="49BF3F54">
              <w:rPr>
                <w:rFonts w:cs="Arial"/>
              </w:rPr>
              <w:t>SES</w:t>
            </w:r>
          </w:p>
        </w:tc>
        <w:tc>
          <w:tcPr>
            <w:tcW w:w="7371" w:type="dxa"/>
          </w:tcPr>
          <w:p w14:paraId="3A6FF57A" w14:textId="2F52C1CF" w:rsidR="003604E0" w:rsidRPr="00290DD3" w:rsidRDefault="003604E0" w:rsidP="006E0DBA">
            <w:pPr>
              <w:pStyle w:val="BodyText"/>
              <w:spacing w:before="80" w:after="80" w:line="264" w:lineRule="auto"/>
              <w:rPr>
                <w:rFonts w:cs="Arial"/>
                <w:color w:val="000000"/>
              </w:rPr>
            </w:pPr>
            <w:r w:rsidRPr="49BF3F54">
              <w:rPr>
                <w:rFonts w:cs="Arial"/>
              </w:rPr>
              <w:t>Senior executive service</w:t>
            </w:r>
          </w:p>
        </w:tc>
      </w:tr>
      <w:tr w:rsidR="003604E0" w14:paraId="02E111C4" w14:textId="77777777" w:rsidTr="006E0DBA">
        <w:tc>
          <w:tcPr>
            <w:tcW w:w="2268" w:type="dxa"/>
          </w:tcPr>
          <w:p w14:paraId="15813F54" w14:textId="0A2084E1" w:rsidR="003604E0" w:rsidRPr="00290DD3" w:rsidRDefault="003604E0" w:rsidP="00B10341">
            <w:pPr>
              <w:pStyle w:val="BodyText"/>
              <w:spacing w:before="80" w:after="80" w:line="264" w:lineRule="auto"/>
            </w:pPr>
            <w:r w:rsidRPr="49BF3F54">
              <w:rPr>
                <w:rFonts w:cs="Arial"/>
              </w:rPr>
              <w:t>SMG</w:t>
            </w:r>
          </w:p>
        </w:tc>
        <w:tc>
          <w:tcPr>
            <w:tcW w:w="7371" w:type="dxa"/>
          </w:tcPr>
          <w:p w14:paraId="1A672AC9" w14:textId="1C9670AD" w:rsidR="003604E0" w:rsidRPr="00290DD3" w:rsidRDefault="003604E0" w:rsidP="006E0DBA">
            <w:pPr>
              <w:pStyle w:val="BodyText"/>
              <w:spacing w:before="80" w:after="80" w:line="264" w:lineRule="auto"/>
            </w:pPr>
            <w:r w:rsidRPr="49BF3F54">
              <w:rPr>
                <w:rFonts w:cs="Arial"/>
              </w:rPr>
              <w:t>Senior Management Group</w:t>
            </w:r>
          </w:p>
        </w:tc>
      </w:tr>
      <w:tr w:rsidR="005B1C10" w14:paraId="10FDD525" w14:textId="77777777" w:rsidTr="006E0DBA">
        <w:tc>
          <w:tcPr>
            <w:tcW w:w="2268" w:type="dxa"/>
          </w:tcPr>
          <w:p w14:paraId="2F16DA0B" w14:textId="342AAB9D" w:rsidR="005B1C10" w:rsidRPr="00290DD3" w:rsidRDefault="005B1C10" w:rsidP="00B10341">
            <w:pPr>
              <w:pStyle w:val="BodyText"/>
              <w:spacing w:before="80" w:after="80" w:line="264" w:lineRule="auto"/>
              <w:rPr>
                <w:rFonts w:cs="Arial"/>
                <w:color w:val="000000"/>
              </w:rPr>
            </w:pPr>
            <w:r w:rsidRPr="49BF3F54">
              <w:rPr>
                <w:rFonts w:cs="Arial"/>
              </w:rPr>
              <w:lastRenderedPageBreak/>
              <w:t>SWC</w:t>
            </w:r>
          </w:p>
        </w:tc>
        <w:tc>
          <w:tcPr>
            <w:tcW w:w="7371" w:type="dxa"/>
          </w:tcPr>
          <w:p w14:paraId="1AB79C8F" w14:textId="7904F20D" w:rsidR="005B1C10" w:rsidRPr="00290DD3" w:rsidRDefault="005B1C10" w:rsidP="006E0DBA">
            <w:pPr>
              <w:pStyle w:val="BodyText"/>
              <w:spacing w:before="80" w:after="80" w:line="264" w:lineRule="auto"/>
              <w:rPr>
                <w:rFonts w:cs="Arial"/>
                <w:color w:val="000000"/>
              </w:rPr>
            </w:pPr>
            <w:r w:rsidRPr="49BF3F54">
              <w:rPr>
                <w:rFonts w:cs="Arial"/>
              </w:rPr>
              <w:t>Strategic Workforce Council</w:t>
            </w:r>
          </w:p>
        </w:tc>
      </w:tr>
      <w:tr w:rsidR="00B6006C" w14:paraId="484FC5B4" w14:textId="77777777" w:rsidTr="006E0DBA">
        <w:tc>
          <w:tcPr>
            <w:tcW w:w="2268" w:type="dxa"/>
          </w:tcPr>
          <w:p w14:paraId="2A0BF7D7" w14:textId="55EC33FB" w:rsidR="00B6006C" w:rsidRPr="49BF3F54" w:rsidRDefault="00B6006C" w:rsidP="00B6006C">
            <w:pPr>
              <w:pStyle w:val="BodyText"/>
              <w:spacing w:before="80" w:after="80" w:line="264" w:lineRule="auto"/>
              <w:rPr>
                <w:rFonts w:cs="Arial"/>
              </w:rPr>
            </w:pPr>
            <w:r>
              <w:rPr>
                <w:rFonts w:cs="Arial"/>
              </w:rPr>
              <w:t>the Act</w:t>
            </w:r>
          </w:p>
        </w:tc>
        <w:tc>
          <w:tcPr>
            <w:tcW w:w="7371" w:type="dxa"/>
          </w:tcPr>
          <w:p w14:paraId="282FAEC0" w14:textId="6192FEEC" w:rsidR="00B6006C" w:rsidRPr="49BF3F54" w:rsidRDefault="00B6006C" w:rsidP="00B6006C">
            <w:pPr>
              <w:pStyle w:val="BodyText"/>
              <w:spacing w:before="80" w:after="80" w:line="264" w:lineRule="auto"/>
              <w:rPr>
                <w:rFonts w:cs="Arial"/>
              </w:rPr>
            </w:pPr>
            <w:r>
              <w:rPr>
                <w:rFonts w:cs="Arial"/>
                <w:i/>
                <w:iCs/>
              </w:rPr>
              <w:t xml:space="preserve">Public Sector Act 2022 </w:t>
            </w:r>
          </w:p>
        </w:tc>
      </w:tr>
      <w:tr w:rsidR="003604E0" w14:paraId="44637AC6" w14:textId="77777777" w:rsidTr="006E0DBA">
        <w:tc>
          <w:tcPr>
            <w:tcW w:w="2268" w:type="dxa"/>
          </w:tcPr>
          <w:p w14:paraId="3C81204D" w14:textId="77F8B09F" w:rsidR="003604E0" w:rsidRPr="00290DD3" w:rsidRDefault="003604E0" w:rsidP="00B10341">
            <w:pPr>
              <w:pStyle w:val="BodyText"/>
              <w:spacing w:before="80" w:after="80" w:line="264" w:lineRule="auto"/>
            </w:pPr>
            <w:r w:rsidRPr="49BF3F54">
              <w:rPr>
                <w:rFonts w:cs="Arial"/>
              </w:rPr>
              <w:t>the Bridgm</w:t>
            </w:r>
            <w:r w:rsidR="008D063A" w:rsidRPr="49BF3F54">
              <w:rPr>
                <w:rFonts w:cs="Arial"/>
              </w:rPr>
              <w:t>a</w:t>
            </w:r>
            <w:r w:rsidRPr="49BF3F54">
              <w:rPr>
                <w:rFonts w:cs="Arial"/>
              </w:rPr>
              <w:t xml:space="preserve">n </w:t>
            </w:r>
            <w:r w:rsidR="00196482" w:rsidRPr="49BF3F54">
              <w:rPr>
                <w:rFonts w:cs="Arial"/>
              </w:rPr>
              <w:t>Review</w:t>
            </w:r>
          </w:p>
        </w:tc>
        <w:tc>
          <w:tcPr>
            <w:tcW w:w="7371" w:type="dxa"/>
          </w:tcPr>
          <w:p w14:paraId="40C0ED7C" w14:textId="5F7135FF" w:rsidR="003604E0" w:rsidRPr="00290DD3" w:rsidRDefault="003604E0" w:rsidP="006E0DBA">
            <w:pPr>
              <w:pStyle w:val="BodyText"/>
              <w:spacing w:before="80" w:after="80" w:line="264" w:lineRule="auto"/>
            </w:pPr>
            <w:r>
              <w:t xml:space="preserve">the </w:t>
            </w:r>
            <w:r w:rsidRPr="49BF3F54">
              <w:rPr>
                <w:i/>
              </w:rPr>
              <w:t>Review of public sector employment laws – A Fair and Responsive Public Service for All report</w:t>
            </w:r>
          </w:p>
        </w:tc>
      </w:tr>
      <w:tr w:rsidR="003604E0" w14:paraId="17746BB1" w14:textId="77777777" w:rsidTr="006E0DBA">
        <w:tc>
          <w:tcPr>
            <w:tcW w:w="2268" w:type="dxa"/>
          </w:tcPr>
          <w:p w14:paraId="68B430BB" w14:textId="3EDFC190" w:rsidR="003604E0" w:rsidRPr="00290DD3" w:rsidRDefault="003604E0" w:rsidP="00B10341">
            <w:pPr>
              <w:pStyle w:val="BodyText"/>
              <w:spacing w:before="80" w:after="80" w:line="264" w:lineRule="auto"/>
              <w:rPr>
                <w:rFonts w:cs="Arial"/>
                <w:color w:val="000000"/>
              </w:rPr>
            </w:pPr>
            <w:r w:rsidRPr="49BF3F54">
              <w:rPr>
                <w:rFonts w:cs="Arial"/>
              </w:rPr>
              <w:t xml:space="preserve">Coaldrake </w:t>
            </w:r>
            <w:r w:rsidR="00196482" w:rsidRPr="49BF3F54">
              <w:rPr>
                <w:rFonts w:cs="Arial"/>
              </w:rPr>
              <w:t>Review</w:t>
            </w:r>
          </w:p>
        </w:tc>
        <w:tc>
          <w:tcPr>
            <w:tcW w:w="7371" w:type="dxa"/>
          </w:tcPr>
          <w:p w14:paraId="63BE529E" w14:textId="1A4E1076" w:rsidR="003604E0" w:rsidRPr="00290DD3" w:rsidRDefault="003604E0" w:rsidP="006E0DBA">
            <w:pPr>
              <w:pStyle w:val="BodyText"/>
              <w:spacing w:before="80" w:after="80" w:line="264" w:lineRule="auto"/>
              <w:rPr>
                <w:rFonts w:cs="Arial"/>
                <w:color w:val="000000"/>
              </w:rPr>
            </w:pPr>
            <w:r>
              <w:t xml:space="preserve">the </w:t>
            </w:r>
            <w:r w:rsidRPr="49BF3F54">
              <w:rPr>
                <w:i/>
              </w:rPr>
              <w:t>Review into Queensland public sector workforce report</w:t>
            </w:r>
          </w:p>
        </w:tc>
      </w:tr>
      <w:tr w:rsidR="003604E0" w14:paraId="513A4C03" w14:textId="77777777" w:rsidTr="006E0DBA">
        <w:tc>
          <w:tcPr>
            <w:tcW w:w="2268" w:type="dxa"/>
          </w:tcPr>
          <w:p w14:paraId="512E8C82" w14:textId="29E5EA74" w:rsidR="003604E0" w:rsidRPr="00290DD3" w:rsidRDefault="003604E0" w:rsidP="00B10341">
            <w:pPr>
              <w:pStyle w:val="BodyText"/>
              <w:spacing w:before="80" w:after="80" w:line="264" w:lineRule="auto"/>
            </w:pPr>
            <w:r w:rsidRPr="49BF3F54">
              <w:rPr>
                <w:rFonts w:cs="Arial"/>
              </w:rPr>
              <w:t>the Commission</w:t>
            </w:r>
          </w:p>
        </w:tc>
        <w:tc>
          <w:tcPr>
            <w:tcW w:w="7371" w:type="dxa"/>
          </w:tcPr>
          <w:p w14:paraId="01D13065" w14:textId="2B1A00FC" w:rsidR="003604E0" w:rsidRPr="00290DD3" w:rsidRDefault="003604E0" w:rsidP="006E0DBA">
            <w:pPr>
              <w:pStyle w:val="BodyText"/>
              <w:spacing w:before="80" w:after="80" w:line="264" w:lineRule="auto"/>
            </w:pPr>
            <w:r w:rsidRPr="49BF3F54">
              <w:rPr>
                <w:rFonts w:cs="Arial"/>
              </w:rPr>
              <w:t>Public Se</w:t>
            </w:r>
            <w:r w:rsidR="006D3458">
              <w:rPr>
                <w:rFonts w:cs="Arial"/>
              </w:rPr>
              <w:t>ctor</w:t>
            </w:r>
            <w:r w:rsidRPr="49BF3F54">
              <w:rPr>
                <w:rFonts w:cs="Arial"/>
              </w:rPr>
              <w:t xml:space="preserve"> Commission</w:t>
            </w:r>
          </w:p>
        </w:tc>
      </w:tr>
      <w:tr w:rsidR="0067460B" w14:paraId="1FCAE757" w14:textId="77777777" w:rsidTr="006E0DBA">
        <w:tc>
          <w:tcPr>
            <w:tcW w:w="2268" w:type="dxa"/>
          </w:tcPr>
          <w:p w14:paraId="48254DA3" w14:textId="4433CD22" w:rsidR="0067460B" w:rsidRPr="49BF3F54" w:rsidRDefault="0067460B" w:rsidP="0067460B">
            <w:pPr>
              <w:pStyle w:val="BodyText"/>
              <w:spacing w:before="80" w:after="80" w:line="264" w:lineRule="auto"/>
              <w:rPr>
                <w:rFonts w:cs="Arial"/>
              </w:rPr>
            </w:pPr>
            <w:r w:rsidRPr="00336455">
              <w:t>the Council</w:t>
            </w:r>
          </w:p>
        </w:tc>
        <w:tc>
          <w:tcPr>
            <w:tcW w:w="7371" w:type="dxa"/>
          </w:tcPr>
          <w:p w14:paraId="5A202F7E" w14:textId="1251626D" w:rsidR="0067460B" w:rsidRPr="49BF3F54" w:rsidRDefault="0067460B" w:rsidP="0067460B">
            <w:pPr>
              <w:pStyle w:val="BodyText"/>
              <w:spacing w:before="80" w:after="80" w:line="264" w:lineRule="auto"/>
              <w:rPr>
                <w:rFonts w:cs="Arial"/>
              </w:rPr>
            </w:pPr>
            <w:r w:rsidRPr="00336455">
              <w:t>Public Sector Governance Council</w:t>
            </w:r>
          </w:p>
        </w:tc>
      </w:tr>
      <w:tr w:rsidR="003604E0" w14:paraId="592E86E9" w14:textId="77777777" w:rsidTr="006E0DBA">
        <w:tc>
          <w:tcPr>
            <w:tcW w:w="2268" w:type="dxa"/>
          </w:tcPr>
          <w:p w14:paraId="361BC2D6" w14:textId="3588BFB9" w:rsidR="003604E0" w:rsidRPr="00290DD3" w:rsidRDefault="003604E0" w:rsidP="00B10341">
            <w:pPr>
              <w:pStyle w:val="BodyText"/>
              <w:spacing w:before="80" w:after="80" w:line="264" w:lineRule="auto"/>
            </w:pPr>
            <w:r w:rsidRPr="49BF3F54">
              <w:rPr>
                <w:rFonts w:cs="Arial"/>
              </w:rPr>
              <w:t>the sector</w:t>
            </w:r>
          </w:p>
        </w:tc>
        <w:tc>
          <w:tcPr>
            <w:tcW w:w="7371" w:type="dxa"/>
          </w:tcPr>
          <w:p w14:paraId="620E49B5" w14:textId="5A2FED0E" w:rsidR="003604E0" w:rsidRPr="00290DD3" w:rsidRDefault="003604E0" w:rsidP="006E0DBA">
            <w:pPr>
              <w:pStyle w:val="BodyText"/>
              <w:spacing w:before="80" w:after="80" w:line="264" w:lineRule="auto"/>
            </w:pPr>
            <w:r w:rsidRPr="49BF3F54">
              <w:rPr>
                <w:rFonts w:cs="Arial"/>
              </w:rPr>
              <w:t>Queensland public sector</w:t>
            </w:r>
          </w:p>
        </w:tc>
      </w:tr>
    </w:tbl>
    <w:p w14:paraId="34CDCB5D" w14:textId="4B55D823" w:rsidR="00AC040C" w:rsidRDefault="00AC040C" w:rsidP="001B75EC">
      <w:pPr>
        <w:pStyle w:val="BodyText"/>
      </w:pPr>
      <w:r>
        <w:br w:type="page"/>
      </w:r>
    </w:p>
    <w:p w14:paraId="09D08718" w14:textId="5A57AAB7" w:rsidR="00585FF3" w:rsidRPr="008D754E" w:rsidRDefault="00042389" w:rsidP="00D044CE">
      <w:pPr>
        <w:pStyle w:val="PSCHeading1"/>
      </w:pPr>
      <w:bookmarkStart w:id="531" w:name="_Toc79493387"/>
      <w:bookmarkStart w:id="532" w:name="_Toc929570096"/>
      <w:bookmarkStart w:id="533" w:name="_Toc141342852"/>
      <w:bookmarkStart w:id="534" w:name="_Toc141781823"/>
      <w:bookmarkStart w:id="535" w:name="_Toc141781985"/>
      <w:bookmarkStart w:id="536" w:name="_Toc145926999"/>
      <w:r w:rsidRPr="008D754E">
        <w:lastRenderedPageBreak/>
        <w:t>Annual report compliance checklist</w:t>
      </w:r>
      <w:bookmarkEnd w:id="531"/>
      <w:bookmarkEnd w:id="532"/>
      <w:bookmarkEnd w:id="533"/>
      <w:bookmarkEnd w:id="534"/>
      <w:bookmarkEnd w:id="535"/>
      <w:bookmarkEnd w:id="536"/>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2"/>
        <w:gridCol w:w="2552"/>
        <w:gridCol w:w="1836"/>
      </w:tblGrid>
      <w:tr w:rsidR="00DD7215" w:rsidRPr="00534ECE" w14:paraId="197EEBC8" w14:textId="77777777" w:rsidTr="008F77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0" w:type="dxa"/>
            <w:gridSpan w:val="2"/>
          </w:tcPr>
          <w:p w14:paraId="0B83FF69" w14:textId="77777777" w:rsidR="00DD7215" w:rsidRPr="00881510" w:rsidRDefault="00DD7215" w:rsidP="008F77AC">
            <w:pPr>
              <w:pStyle w:val="Text"/>
              <w:spacing w:after="120"/>
              <w:rPr>
                <w:rFonts w:cs="Arial"/>
                <w:b w:val="0"/>
                <w:color w:val="auto"/>
                <w:sz w:val="18"/>
                <w:szCs w:val="18"/>
              </w:rPr>
            </w:pPr>
            <w:r w:rsidRPr="00881510">
              <w:rPr>
                <w:rFonts w:cs="Arial"/>
                <w:color w:val="auto"/>
                <w:sz w:val="18"/>
                <w:szCs w:val="18"/>
              </w:rPr>
              <w:t>Summary of requirement</w:t>
            </w:r>
          </w:p>
        </w:tc>
        <w:tc>
          <w:tcPr>
            <w:cnfStyle w:val="000010000000" w:firstRow="0" w:lastRow="0" w:firstColumn="0" w:lastColumn="0" w:oddVBand="1" w:evenVBand="0" w:oddHBand="0" w:evenHBand="0" w:firstRowFirstColumn="0" w:firstRowLastColumn="0" w:lastRowFirstColumn="0" w:lastRowLastColumn="0"/>
            <w:tcW w:w="2552" w:type="dxa"/>
          </w:tcPr>
          <w:p w14:paraId="61EA1A1D" w14:textId="77777777" w:rsidR="00DD7215" w:rsidRPr="00881510" w:rsidRDefault="00DD7215" w:rsidP="008F77AC">
            <w:pPr>
              <w:pStyle w:val="Text"/>
              <w:spacing w:after="120"/>
              <w:rPr>
                <w:rFonts w:cs="Arial"/>
                <w:b w:val="0"/>
                <w:color w:val="auto"/>
                <w:sz w:val="18"/>
                <w:szCs w:val="18"/>
              </w:rPr>
            </w:pPr>
            <w:r w:rsidRPr="00881510">
              <w:rPr>
                <w:rFonts w:cs="Arial"/>
                <w:color w:val="auto"/>
                <w:sz w:val="18"/>
                <w:szCs w:val="18"/>
              </w:rPr>
              <w:t>Basis for requirement</w:t>
            </w:r>
          </w:p>
        </w:tc>
        <w:tc>
          <w:tcPr>
            <w:cnfStyle w:val="000100001000" w:firstRow="0" w:lastRow="0" w:firstColumn="0" w:lastColumn="1" w:oddVBand="0" w:evenVBand="0" w:oddHBand="0" w:evenHBand="0" w:firstRowFirstColumn="0" w:firstRowLastColumn="1" w:lastRowFirstColumn="0" w:lastRowLastColumn="0"/>
            <w:tcW w:w="1836" w:type="dxa"/>
          </w:tcPr>
          <w:p w14:paraId="6CF8A280" w14:textId="77777777" w:rsidR="00DD7215" w:rsidRPr="00AF029D" w:rsidRDefault="00DD7215" w:rsidP="008F77AC">
            <w:pPr>
              <w:pStyle w:val="Text"/>
              <w:spacing w:after="120"/>
              <w:rPr>
                <w:rFonts w:cs="Arial"/>
                <w:b w:val="0"/>
                <w:color w:val="auto"/>
                <w:sz w:val="18"/>
                <w:szCs w:val="18"/>
              </w:rPr>
            </w:pPr>
            <w:r w:rsidRPr="00AF029D">
              <w:rPr>
                <w:rFonts w:cs="Arial"/>
                <w:color w:val="auto"/>
                <w:sz w:val="18"/>
                <w:szCs w:val="18"/>
              </w:rPr>
              <w:t>Annual report reference</w:t>
            </w:r>
          </w:p>
        </w:tc>
      </w:tr>
      <w:tr w:rsidR="00DD7215" w:rsidRPr="00534ECE" w14:paraId="3D232921"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28250F" w14:textId="77777777" w:rsidR="00DD7215" w:rsidRPr="00534ECE" w:rsidRDefault="00DD7215" w:rsidP="008F77AC">
            <w:pPr>
              <w:pStyle w:val="Text"/>
              <w:spacing w:after="120"/>
              <w:rPr>
                <w:rFonts w:cs="Arial"/>
                <w:b w:val="0"/>
                <w:bCs w:val="0"/>
                <w:sz w:val="16"/>
                <w:szCs w:val="16"/>
              </w:rPr>
            </w:pPr>
            <w:r w:rsidRPr="00534ECE">
              <w:rPr>
                <w:rFonts w:cs="Arial"/>
                <w:sz w:val="16"/>
                <w:szCs w:val="16"/>
              </w:rPr>
              <w:t>Letter of compliance</w:t>
            </w:r>
          </w:p>
        </w:tc>
        <w:tc>
          <w:tcPr>
            <w:cnfStyle w:val="000010000000" w:firstRow="0" w:lastRow="0" w:firstColumn="0" w:lastColumn="0" w:oddVBand="1" w:evenVBand="0" w:oddHBand="0" w:evenHBand="0" w:firstRowFirstColumn="0" w:firstRowLastColumn="0" w:lastRowFirstColumn="0" w:lastRowLastColumn="0"/>
            <w:tcW w:w="3402" w:type="dxa"/>
          </w:tcPr>
          <w:p w14:paraId="60227C46" w14:textId="77777777" w:rsidR="00DD7215" w:rsidRPr="000E1D16" w:rsidRDefault="00DD7215" w:rsidP="008F77AC">
            <w:pPr>
              <w:pStyle w:val="Text"/>
              <w:tabs>
                <w:tab w:val="clear" w:pos="1713"/>
              </w:tabs>
              <w:spacing w:after="120"/>
              <w:rPr>
                <w:rFonts w:cs="Arial"/>
                <w:b/>
                <w:sz w:val="16"/>
                <w:szCs w:val="16"/>
              </w:rPr>
            </w:pPr>
            <w:r w:rsidRPr="000E1D16">
              <w:rPr>
                <w:rFonts w:cs="Arial"/>
                <w:b/>
                <w:sz w:val="16"/>
                <w:szCs w:val="16"/>
              </w:rPr>
              <w:t>A letter of compliance from the accountable officer or statutory body to the relevant Minister/s</w:t>
            </w:r>
          </w:p>
        </w:tc>
        <w:tc>
          <w:tcPr>
            <w:tcW w:w="2552" w:type="dxa"/>
          </w:tcPr>
          <w:p w14:paraId="260682BE" w14:textId="77777777" w:rsidR="00DD7215" w:rsidRPr="000E1D16"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0E1D16">
              <w:rPr>
                <w:rFonts w:cs="Arial"/>
                <w:sz w:val="16"/>
                <w:szCs w:val="16"/>
              </w:rPr>
              <w:t>ARRs</w:t>
            </w:r>
            <w:r w:rsidRPr="000E1D16">
              <w:rPr>
                <w:rFonts w:cs="Arial"/>
                <w:i/>
                <w:sz w:val="16"/>
                <w:szCs w:val="16"/>
              </w:rPr>
              <w:t xml:space="preserve"> – </w:t>
            </w:r>
            <w:r w:rsidRPr="000E1D16">
              <w:rPr>
                <w:rFonts w:cs="Arial"/>
                <w:sz w:val="16"/>
                <w:szCs w:val="16"/>
              </w:rPr>
              <w:t>section 7</w:t>
            </w:r>
          </w:p>
        </w:tc>
        <w:tc>
          <w:tcPr>
            <w:cnfStyle w:val="000100000000" w:firstRow="0" w:lastRow="0" w:firstColumn="0" w:lastColumn="1" w:oddVBand="0" w:evenVBand="0" w:oddHBand="0" w:evenHBand="0" w:firstRowFirstColumn="0" w:firstRowLastColumn="0" w:lastRowFirstColumn="0" w:lastRowLastColumn="0"/>
            <w:tcW w:w="1836" w:type="dxa"/>
            <w:vAlign w:val="center"/>
          </w:tcPr>
          <w:p w14:paraId="62D2696B" w14:textId="52BAE33F" w:rsidR="00DD7215" w:rsidRPr="000E1D16" w:rsidRDefault="00DD7215" w:rsidP="00393C26">
            <w:pPr>
              <w:rPr>
                <w:sz w:val="16"/>
                <w:szCs w:val="16"/>
              </w:rPr>
            </w:pPr>
            <w:r w:rsidRPr="000E1D16">
              <w:rPr>
                <w:sz w:val="16"/>
                <w:szCs w:val="16"/>
              </w:rPr>
              <w:t>ii</w:t>
            </w:r>
            <w:r w:rsidR="000E75D0" w:rsidRPr="000E1D16">
              <w:rPr>
                <w:sz w:val="16"/>
                <w:szCs w:val="16"/>
              </w:rPr>
              <w:t>i</w:t>
            </w:r>
          </w:p>
        </w:tc>
      </w:tr>
      <w:tr w:rsidR="00DD7215" w:rsidRPr="00534ECE" w14:paraId="73803D09"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val="restart"/>
          </w:tcPr>
          <w:p w14:paraId="08EDA91D" w14:textId="77777777" w:rsidR="00DD7215" w:rsidRPr="00534ECE" w:rsidRDefault="00DD7215" w:rsidP="008F77AC">
            <w:pPr>
              <w:pStyle w:val="Text"/>
              <w:spacing w:after="120"/>
              <w:rPr>
                <w:rFonts w:cs="Arial"/>
                <w:b w:val="0"/>
                <w:bCs w:val="0"/>
                <w:sz w:val="16"/>
                <w:szCs w:val="16"/>
              </w:rPr>
            </w:pPr>
            <w:r w:rsidRPr="00534ECE">
              <w:rPr>
                <w:rFonts w:cs="Arial"/>
                <w:sz w:val="16"/>
                <w:szCs w:val="16"/>
              </w:rPr>
              <w:t>Accessibility</w:t>
            </w:r>
          </w:p>
        </w:tc>
        <w:tc>
          <w:tcPr>
            <w:cnfStyle w:val="000010000000" w:firstRow="0" w:lastRow="0" w:firstColumn="0" w:lastColumn="0" w:oddVBand="1" w:evenVBand="0" w:oddHBand="0" w:evenHBand="0" w:firstRowFirstColumn="0" w:firstRowLastColumn="0" w:lastRowFirstColumn="0" w:lastRowLastColumn="0"/>
            <w:tcW w:w="3402" w:type="dxa"/>
          </w:tcPr>
          <w:p w14:paraId="207D7403" w14:textId="77777777" w:rsidR="00DD7215" w:rsidRPr="000E1D16" w:rsidRDefault="00DD7215" w:rsidP="008F77AC">
            <w:pPr>
              <w:pStyle w:val="Text"/>
              <w:tabs>
                <w:tab w:val="clear" w:pos="1713"/>
              </w:tabs>
              <w:spacing w:after="120"/>
              <w:rPr>
                <w:rFonts w:cs="Arial"/>
                <w:b/>
                <w:sz w:val="16"/>
                <w:szCs w:val="16"/>
              </w:rPr>
            </w:pPr>
            <w:r w:rsidRPr="000E1D16">
              <w:rPr>
                <w:rFonts w:cs="Arial"/>
                <w:b/>
                <w:sz w:val="16"/>
                <w:szCs w:val="16"/>
              </w:rPr>
              <w:t>Table of contents</w:t>
            </w:r>
          </w:p>
          <w:p w14:paraId="07D84C98" w14:textId="77777777" w:rsidR="00DD7215" w:rsidRPr="000E1D16" w:rsidRDefault="00DD7215" w:rsidP="008F77AC">
            <w:pPr>
              <w:pStyle w:val="Text"/>
              <w:tabs>
                <w:tab w:val="clear" w:pos="1713"/>
              </w:tabs>
              <w:spacing w:after="120"/>
              <w:rPr>
                <w:rFonts w:cs="Arial"/>
                <w:b/>
                <w:sz w:val="16"/>
                <w:szCs w:val="16"/>
              </w:rPr>
            </w:pPr>
            <w:r w:rsidRPr="000E1D16">
              <w:rPr>
                <w:rFonts w:cs="Arial"/>
                <w:b/>
                <w:sz w:val="16"/>
                <w:szCs w:val="16"/>
              </w:rPr>
              <w:t>Glossary</w:t>
            </w:r>
          </w:p>
        </w:tc>
        <w:tc>
          <w:tcPr>
            <w:tcW w:w="2552" w:type="dxa"/>
          </w:tcPr>
          <w:p w14:paraId="0FFF0ADC" w14:textId="77777777" w:rsidR="00DD7215" w:rsidRPr="000E1D16"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0E1D16">
              <w:rPr>
                <w:rFonts w:cs="Arial"/>
                <w:sz w:val="16"/>
                <w:szCs w:val="16"/>
              </w:rPr>
              <w:t>ARRs – section 9.1</w:t>
            </w:r>
          </w:p>
        </w:tc>
        <w:tc>
          <w:tcPr>
            <w:cnfStyle w:val="000100000000" w:firstRow="0" w:lastRow="0" w:firstColumn="0" w:lastColumn="1" w:oddVBand="0" w:evenVBand="0" w:oddHBand="0" w:evenHBand="0" w:firstRowFirstColumn="0" w:firstRowLastColumn="0" w:lastRowFirstColumn="0" w:lastRowLastColumn="0"/>
            <w:tcW w:w="1836" w:type="dxa"/>
            <w:vAlign w:val="center"/>
          </w:tcPr>
          <w:p w14:paraId="465050C5" w14:textId="66ACD2A8" w:rsidR="00DD7215" w:rsidRPr="000E1D16" w:rsidRDefault="00553D32" w:rsidP="00393C26">
            <w:pPr>
              <w:rPr>
                <w:sz w:val="16"/>
                <w:szCs w:val="16"/>
              </w:rPr>
            </w:pPr>
            <w:r w:rsidRPr="000E1D16">
              <w:rPr>
                <w:sz w:val="16"/>
                <w:szCs w:val="16"/>
              </w:rPr>
              <w:t>ii</w:t>
            </w:r>
          </w:p>
          <w:p w14:paraId="653B2434" w14:textId="77777777" w:rsidR="00DD7215" w:rsidRPr="000E1D16" w:rsidRDefault="00DD7215" w:rsidP="00393C26">
            <w:pPr>
              <w:rPr>
                <w:b w:val="0"/>
                <w:bCs w:val="0"/>
                <w:sz w:val="16"/>
                <w:szCs w:val="16"/>
              </w:rPr>
            </w:pPr>
          </w:p>
          <w:p w14:paraId="12376DE9" w14:textId="0442C141" w:rsidR="000E1D16" w:rsidRPr="000E1D16" w:rsidRDefault="000E1D16" w:rsidP="00393C26">
            <w:pPr>
              <w:rPr>
                <w:sz w:val="16"/>
                <w:szCs w:val="16"/>
              </w:rPr>
            </w:pPr>
            <w:r w:rsidRPr="000E1D16">
              <w:rPr>
                <w:sz w:val="16"/>
                <w:szCs w:val="16"/>
              </w:rPr>
              <w:t>44</w:t>
            </w:r>
          </w:p>
        </w:tc>
      </w:tr>
      <w:tr w:rsidR="00DD7215" w:rsidRPr="00534ECE" w14:paraId="2476B684"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19B287B8"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10D64A6"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Public availability</w:t>
            </w:r>
          </w:p>
        </w:tc>
        <w:tc>
          <w:tcPr>
            <w:tcW w:w="2552" w:type="dxa"/>
          </w:tcPr>
          <w:p w14:paraId="29DB2719"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9.2</w:t>
            </w:r>
          </w:p>
        </w:tc>
        <w:tc>
          <w:tcPr>
            <w:cnfStyle w:val="000100000000" w:firstRow="0" w:lastRow="0" w:firstColumn="0" w:lastColumn="1" w:oddVBand="0" w:evenVBand="0" w:oddHBand="0" w:evenHBand="0" w:firstRowFirstColumn="0" w:firstRowLastColumn="0" w:lastRowFirstColumn="0" w:lastRowLastColumn="0"/>
            <w:tcW w:w="1836" w:type="dxa"/>
            <w:vAlign w:val="center"/>
          </w:tcPr>
          <w:p w14:paraId="5777A80C" w14:textId="77777777" w:rsidR="00DD7215" w:rsidRPr="00CA3F39" w:rsidRDefault="00DD7215" w:rsidP="00393C26">
            <w:r w:rsidRPr="00CA3F39">
              <w:t>i</w:t>
            </w:r>
          </w:p>
        </w:tc>
      </w:tr>
      <w:tr w:rsidR="00DD7215" w:rsidRPr="00534ECE" w14:paraId="2B71CC5F"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tcPr>
          <w:p w14:paraId="7944BDD7"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D33E3C7"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Interpreter service statement</w:t>
            </w:r>
          </w:p>
        </w:tc>
        <w:tc>
          <w:tcPr>
            <w:tcW w:w="2552" w:type="dxa"/>
          </w:tcPr>
          <w:p w14:paraId="2AB6411B"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i/>
                <w:sz w:val="16"/>
                <w:szCs w:val="16"/>
              </w:rPr>
            </w:pPr>
            <w:r w:rsidRPr="00534ECE">
              <w:rPr>
                <w:rFonts w:cs="Arial"/>
                <w:i/>
                <w:sz w:val="16"/>
                <w:szCs w:val="16"/>
              </w:rPr>
              <w:t>Queensland Government Language Services Policy</w:t>
            </w:r>
          </w:p>
          <w:p w14:paraId="2CEC6D4B"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9.3</w:t>
            </w:r>
          </w:p>
        </w:tc>
        <w:tc>
          <w:tcPr>
            <w:cnfStyle w:val="000100000000" w:firstRow="0" w:lastRow="0" w:firstColumn="0" w:lastColumn="1" w:oddVBand="0" w:evenVBand="0" w:oddHBand="0" w:evenHBand="0" w:firstRowFirstColumn="0" w:firstRowLastColumn="0" w:lastRowFirstColumn="0" w:lastRowLastColumn="0"/>
            <w:tcW w:w="1836" w:type="dxa"/>
            <w:vAlign w:val="center"/>
          </w:tcPr>
          <w:p w14:paraId="0529B0D7" w14:textId="77777777" w:rsidR="00DD7215" w:rsidRPr="00CA3F39" w:rsidRDefault="00DD7215" w:rsidP="00393C26">
            <w:r w:rsidRPr="00CA3F39">
              <w:t>i</w:t>
            </w:r>
          </w:p>
        </w:tc>
      </w:tr>
      <w:tr w:rsidR="00DD7215" w:rsidRPr="00534ECE" w14:paraId="234F2A72"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47BA2F0E"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4CABFE0F"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Copyright notice</w:t>
            </w:r>
          </w:p>
        </w:tc>
        <w:tc>
          <w:tcPr>
            <w:tcW w:w="2552" w:type="dxa"/>
          </w:tcPr>
          <w:p w14:paraId="7D3E5458"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i/>
                <w:sz w:val="16"/>
                <w:szCs w:val="16"/>
              </w:rPr>
            </w:pPr>
            <w:r w:rsidRPr="00534ECE">
              <w:rPr>
                <w:rFonts w:cs="Arial"/>
                <w:i/>
                <w:sz w:val="16"/>
                <w:szCs w:val="16"/>
              </w:rPr>
              <w:t>Copyright Act 1968</w:t>
            </w:r>
          </w:p>
          <w:p w14:paraId="5B36BE6F"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9.4</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5E349BF0" w14:textId="77777777" w:rsidR="00DD7215" w:rsidRPr="00821309" w:rsidRDefault="00DD7215" w:rsidP="00393C26">
            <w:r w:rsidRPr="00821309">
              <w:t>i</w:t>
            </w:r>
          </w:p>
        </w:tc>
      </w:tr>
      <w:tr w:rsidR="00DD7215" w:rsidRPr="00534ECE" w14:paraId="747A2E65"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tcPr>
          <w:p w14:paraId="2F1C0C3D"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620E5C2C"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Information Licensing</w:t>
            </w:r>
          </w:p>
        </w:tc>
        <w:tc>
          <w:tcPr>
            <w:tcW w:w="2552" w:type="dxa"/>
          </w:tcPr>
          <w:p w14:paraId="5BF2DFEC"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i/>
                <w:sz w:val="16"/>
                <w:szCs w:val="16"/>
              </w:rPr>
            </w:pPr>
            <w:r w:rsidRPr="00534ECE">
              <w:rPr>
                <w:rFonts w:cs="Arial"/>
                <w:i/>
                <w:sz w:val="16"/>
                <w:szCs w:val="16"/>
              </w:rPr>
              <w:t>QGEA – Information Licensing</w:t>
            </w:r>
          </w:p>
          <w:p w14:paraId="0F8535B5"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9.5</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46A137C" w14:textId="77777777" w:rsidR="00DD7215" w:rsidRPr="00821309" w:rsidRDefault="00DD7215" w:rsidP="00393C26">
            <w:r w:rsidRPr="00821309">
              <w:t>i</w:t>
            </w:r>
          </w:p>
        </w:tc>
      </w:tr>
      <w:tr w:rsidR="00DD7215" w:rsidRPr="00534ECE" w14:paraId="05C2C0AB" w14:textId="77777777" w:rsidTr="00393C2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38" w:type="dxa"/>
          </w:tcPr>
          <w:p w14:paraId="0E52DB4B" w14:textId="77777777" w:rsidR="00DD7215" w:rsidRPr="00534ECE" w:rsidRDefault="00DD7215" w:rsidP="008F77AC">
            <w:pPr>
              <w:pStyle w:val="Text"/>
              <w:spacing w:after="120"/>
              <w:rPr>
                <w:rFonts w:cs="Arial"/>
                <w:b w:val="0"/>
                <w:bCs w:val="0"/>
                <w:sz w:val="16"/>
                <w:szCs w:val="16"/>
              </w:rPr>
            </w:pPr>
            <w:r w:rsidRPr="00534ECE">
              <w:rPr>
                <w:rFonts w:cs="Arial"/>
                <w:sz w:val="16"/>
                <w:szCs w:val="16"/>
              </w:rPr>
              <w:t>General information</w:t>
            </w:r>
          </w:p>
        </w:tc>
        <w:tc>
          <w:tcPr>
            <w:cnfStyle w:val="000010000000" w:firstRow="0" w:lastRow="0" w:firstColumn="0" w:lastColumn="0" w:oddVBand="1" w:evenVBand="0" w:oddHBand="0" w:evenHBand="0" w:firstRowFirstColumn="0" w:firstRowLastColumn="0" w:lastRowFirstColumn="0" w:lastRowLastColumn="0"/>
            <w:tcW w:w="3402" w:type="dxa"/>
          </w:tcPr>
          <w:p w14:paraId="1BB396CD"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Introductory Information</w:t>
            </w:r>
          </w:p>
        </w:tc>
        <w:tc>
          <w:tcPr>
            <w:tcW w:w="2552" w:type="dxa"/>
          </w:tcPr>
          <w:p w14:paraId="53AD060C"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lang w:val="fr-FR"/>
              </w:rPr>
            </w:pPr>
            <w:r w:rsidRPr="00534ECE">
              <w:rPr>
                <w:rFonts w:cs="Arial"/>
                <w:sz w:val="16"/>
                <w:szCs w:val="16"/>
                <w:lang w:val="fr-FR"/>
              </w:rPr>
              <w:t xml:space="preserve">ARRs – section </w:t>
            </w:r>
            <w:r w:rsidRPr="00534ECE">
              <w:rPr>
                <w:rFonts w:cs="Arial"/>
                <w:sz w:val="16"/>
                <w:szCs w:val="16"/>
              </w:rPr>
              <w:t>10</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2FCDD074" w14:textId="03C4856A" w:rsidR="00DD7215" w:rsidRPr="00FF0C5C" w:rsidRDefault="00DD7215" w:rsidP="00393C26">
            <w:pPr>
              <w:rPr>
                <w:sz w:val="16"/>
                <w:szCs w:val="16"/>
              </w:rPr>
            </w:pPr>
            <w:r w:rsidRPr="00FF0C5C">
              <w:rPr>
                <w:sz w:val="16"/>
                <w:szCs w:val="16"/>
              </w:rPr>
              <w:t>1–</w:t>
            </w:r>
            <w:r w:rsidR="00E92C74" w:rsidRPr="00FF0C5C">
              <w:rPr>
                <w:sz w:val="16"/>
                <w:szCs w:val="16"/>
              </w:rPr>
              <w:t>4</w:t>
            </w:r>
          </w:p>
        </w:tc>
      </w:tr>
      <w:tr w:rsidR="00DD7215" w:rsidRPr="00534ECE" w14:paraId="6BC7A980"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val="restart"/>
          </w:tcPr>
          <w:p w14:paraId="1B662163" w14:textId="77777777" w:rsidR="00DD7215" w:rsidRPr="00534ECE" w:rsidRDefault="00DD7215" w:rsidP="008F77AC">
            <w:pPr>
              <w:pStyle w:val="Text"/>
              <w:spacing w:after="120"/>
              <w:rPr>
                <w:rFonts w:cs="Arial"/>
                <w:b w:val="0"/>
                <w:bCs w:val="0"/>
                <w:sz w:val="16"/>
                <w:szCs w:val="16"/>
              </w:rPr>
            </w:pPr>
            <w:r w:rsidRPr="00534ECE">
              <w:rPr>
                <w:rFonts w:cs="Arial"/>
                <w:sz w:val="16"/>
                <w:szCs w:val="16"/>
              </w:rPr>
              <w:t>Non-financial performance</w:t>
            </w:r>
          </w:p>
        </w:tc>
        <w:tc>
          <w:tcPr>
            <w:cnfStyle w:val="000010000000" w:firstRow="0" w:lastRow="0" w:firstColumn="0" w:lastColumn="0" w:oddVBand="1" w:evenVBand="0" w:oddHBand="0" w:evenHBand="0" w:firstRowFirstColumn="0" w:firstRowLastColumn="0" w:lastRowFirstColumn="0" w:lastRowLastColumn="0"/>
            <w:tcW w:w="3402" w:type="dxa"/>
          </w:tcPr>
          <w:p w14:paraId="381B8E75"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Government’s objectives for the community</w:t>
            </w:r>
            <w:r>
              <w:rPr>
                <w:rFonts w:cs="Arial"/>
                <w:b/>
                <w:sz w:val="16"/>
                <w:szCs w:val="16"/>
              </w:rPr>
              <w:t xml:space="preserve"> and whole-of-government plans/specific initiatives</w:t>
            </w:r>
          </w:p>
        </w:tc>
        <w:tc>
          <w:tcPr>
            <w:tcW w:w="2552" w:type="dxa"/>
          </w:tcPr>
          <w:p w14:paraId="143500E3"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11.1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506FCAE6" w14:textId="6BB149A0" w:rsidR="00DD7215" w:rsidRPr="00FF0C5C" w:rsidRDefault="00CA4D3C" w:rsidP="00393C26">
            <w:pPr>
              <w:rPr>
                <w:sz w:val="16"/>
                <w:szCs w:val="16"/>
              </w:rPr>
            </w:pPr>
            <w:r>
              <w:rPr>
                <w:sz w:val="16"/>
                <w:szCs w:val="16"/>
              </w:rPr>
              <w:t>9</w:t>
            </w:r>
            <w:r w:rsidR="009E1CC1" w:rsidRPr="00FF0C5C">
              <w:rPr>
                <w:sz w:val="16"/>
                <w:szCs w:val="16"/>
              </w:rPr>
              <w:t>–</w:t>
            </w:r>
            <w:r>
              <w:rPr>
                <w:sz w:val="16"/>
                <w:szCs w:val="16"/>
              </w:rPr>
              <w:t>1</w:t>
            </w:r>
            <w:r w:rsidR="003C0E76">
              <w:rPr>
                <w:sz w:val="16"/>
                <w:szCs w:val="16"/>
              </w:rPr>
              <w:t>4</w:t>
            </w:r>
          </w:p>
        </w:tc>
      </w:tr>
      <w:tr w:rsidR="00DD7215" w:rsidRPr="00534ECE" w14:paraId="127F5644"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65BE8C6F"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A1E5EC1"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Agency objectives and performance indicators</w:t>
            </w:r>
          </w:p>
        </w:tc>
        <w:tc>
          <w:tcPr>
            <w:tcW w:w="2552" w:type="dxa"/>
          </w:tcPr>
          <w:p w14:paraId="5A26098C"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11.</w:t>
            </w: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0492E3C" w14:textId="5CB7B547" w:rsidR="00DD7215" w:rsidRPr="00FF0C5C" w:rsidRDefault="00CA4D3C" w:rsidP="00393C26">
            <w:pPr>
              <w:rPr>
                <w:sz w:val="16"/>
                <w:szCs w:val="16"/>
              </w:rPr>
            </w:pPr>
            <w:r>
              <w:rPr>
                <w:sz w:val="16"/>
                <w:szCs w:val="16"/>
              </w:rPr>
              <w:t>9</w:t>
            </w:r>
            <w:r w:rsidRPr="00FF0C5C">
              <w:rPr>
                <w:sz w:val="16"/>
                <w:szCs w:val="16"/>
              </w:rPr>
              <w:t>–</w:t>
            </w:r>
            <w:r>
              <w:rPr>
                <w:sz w:val="16"/>
                <w:szCs w:val="16"/>
              </w:rPr>
              <w:t>1</w:t>
            </w:r>
            <w:r w:rsidR="003C0E76">
              <w:rPr>
                <w:sz w:val="16"/>
                <w:szCs w:val="16"/>
              </w:rPr>
              <w:t>4</w:t>
            </w:r>
          </w:p>
        </w:tc>
      </w:tr>
      <w:tr w:rsidR="00DD7215" w:rsidRPr="00534ECE" w14:paraId="46075266"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tcPr>
          <w:p w14:paraId="3A1D3776"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0DE57A06"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 xml:space="preserve">Agency service areas and service standards </w:t>
            </w:r>
          </w:p>
        </w:tc>
        <w:tc>
          <w:tcPr>
            <w:tcW w:w="2552" w:type="dxa"/>
          </w:tcPr>
          <w:p w14:paraId="37870129"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i/>
                <w:sz w:val="16"/>
                <w:szCs w:val="16"/>
              </w:rPr>
            </w:pPr>
            <w:r w:rsidRPr="00534ECE">
              <w:rPr>
                <w:rFonts w:cs="Arial"/>
                <w:sz w:val="16"/>
                <w:szCs w:val="16"/>
              </w:rPr>
              <w:t>ARRs – section 11.</w:t>
            </w: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51445896" w14:textId="6E3CC43C" w:rsidR="00DD7215" w:rsidRPr="00FF0C5C" w:rsidRDefault="00DD7215" w:rsidP="00393C26">
            <w:pPr>
              <w:rPr>
                <w:sz w:val="16"/>
                <w:szCs w:val="16"/>
              </w:rPr>
            </w:pPr>
            <w:r w:rsidRPr="00FF0C5C">
              <w:rPr>
                <w:sz w:val="16"/>
                <w:szCs w:val="16"/>
              </w:rPr>
              <w:t>1</w:t>
            </w:r>
            <w:r w:rsidR="003C0E76">
              <w:rPr>
                <w:sz w:val="16"/>
                <w:szCs w:val="16"/>
              </w:rPr>
              <w:t>5</w:t>
            </w:r>
          </w:p>
        </w:tc>
      </w:tr>
      <w:tr w:rsidR="00DD7215" w:rsidRPr="00534ECE" w14:paraId="6D4D371E"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F10014" w14:textId="77777777" w:rsidR="00DD7215" w:rsidRPr="00534ECE" w:rsidRDefault="00DD7215" w:rsidP="008F77AC">
            <w:pPr>
              <w:pStyle w:val="Text"/>
              <w:spacing w:after="120"/>
              <w:rPr>
                <w:rFonts w:cs="Arial"/>
                <w:b w:val="0"/>
                <w:bCs w:val="0"/>
                <w:sz w:val="16"/>
                <w:szCs w:val="16"/>
              </w:rPr>
            </w:pPr>
            <w:r w:rsidRPr="00534ECE">
              <w:rPr>
                <w:rFonts w:cs="Arial"/>
                <w:sz w:val="16"/>
                <w:szCs w:val="16"/>
              </w:rPr>
              <w:t>Financial performance</w:t>
            </w:r>
          </w:p>
        </w:tc>
        <w:tc>
          <w:tcPr>
            <w:cnfStyle w:val="000010000000" w:firstRow="0" w:lastRow="0" w:firstColumn="0" w:lastColumn="0" w:oddVBand="1" w:evenVBand="0" w:oddHBand="0" w:evenHBand="0" w:firstRowFirstColumn="0" w:firstRowLastColumn="0" w:lastRowFirstColumn="0" w:lastRowLastColumn="0"/>
            <w:tcW w:w="3402" w:type="dxa"/>
          </w:tcPr>
          <w:p w14:paraId="359CBDC2"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Summary of financial performance</w:t>
            </w:r>
          </w:p>
        </w:tc>
        <w:tc>
          <w:tcPr>
            <w:tcW w:w="2552" w:type="dxa"/>
          </w:tcPr>
          <w:p w14:paraId="592881AF"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12.1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203F7FC" w14:textId="3A3F9166" w:rsidR="00DD7215" w:rsidRPr="00FF0C5C" w:rsidRDefault="00A81A04" w:rsidP="00393C26">
            <w:pPr>
              <w:rPr>
                <w:sz w:val="16"/>
                <w:szCs w:val="16"/>
              </w:rPr>
            </w:pPr>
            <w:r>
              <w:rPr>
                <w:sz w:val="16"/>
                <w:szCs w:val="16"/>
              </w:rPr>
              <w:t>6-8</w:t>
            </w:r>
          </w:p>
        </w:tc>
      </w:tr>
      <w:tr w:rsidR="00DD7215" w:rsidRPr="00534ECE" w14:paraId="779DF0A5"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val="restart"/>
          </w:tcPr>
          <w:p w14:paraId="4648590F" w14:textId="77777777" w:rsidR="00DD7215" w:rsidRPr="00534ECE" w:rsidRDefault="00DD7215" w:rsidP="008F77AC">
            <w:pPr>
              <w:pStyle w:val="Text"/>
              <w:spacing w:after="120"/>
              <w:rPr>
                <w:rFonts w:cs="Arial"/>
                <w:b w:val="0"/>
                <w:bCs w:val="0"/>
                <w:sz w:val="16"/>
                <w:szCs w:val="16"/>
              </w:rPr>
            </w:pPr>
            <w:r w:rsidRPr="00534ECE">
              <w:rPr>
                <w:rFonts w:cs="Arial"/>
                <w:sz w:val="16"/>
                <w:szCs w:val="16"/>
              </w:rPr>
              <w:t>Governance – management and structure</w:t>
            </w:r>
          </w:p>
        </w:tc>
        <w:tc>
          <w:tcPr>
            <w:cnfStyle w:val="000010000000" w:firstRow="0" w:lastRow="0" w:firstColumn="0" w:lastColumn="0" w:oddVBand="1" w:evenVBand="0" w:oddHBand="0" w:evenHBand="0" w:firstRowFirstColumn="0" w:firstRowLastColumn="0" w:lastRowFirstColumn="0" w:lastRowLastColumn="0"/>
            <w:tcW w:w="3402" w:type="dxa"/>
          </w:tcPr>
          <w:p w14:paraId="608D793A"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 xml:space="preserve">Organisational structure </w:t>
            </w:r>
          </w:p>
        </w:tc>
        <w:tc>
          <w:tcPr>
            <w:tcW w:w="2552" w:type="dxa"/>
          </w:tcPr>
          <w:p w14:paraId="2E708BAD"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13.1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2EAB2B03" w14:textId="093E4466" w:rsidR="00DD7215" w:rsidRPr="00FF0C5C" w:rsidRDefault="00DD7215" w:rsidP="00393C26">
            <w:pPr>
              <w:rPr>
                <w:sz w:val="16"/>
                <w:szCs w:val="16"/>
              </w:rPr>
            </w:pPr>
            <w:r w:rsidRPr="00FF0C5C">
              <w:rPr>
                <w:sz w:val="16"/>
                <w:szCs w:val="16"/>
              </w:rPr>
              <w:t>1</w:t>
            </w:r>
            <w:r w:rsidR="009E1CC1" w:rsidRPr="00FF0C5C">
              <w:rPr>
                <w:sz w:val="16"/>
                <w:szCs w:val="16"/>
              </w:rPr>
              <w:t>6</w:t>
            </w:r>
          </w:p>
        </w:tc>
      </w:tr>
      <w:tr w:rsidR="00DD7215" w:rsidRPr="00534ECE" w14:paraId="33C62BE9"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0125F2FD"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27E78FEE"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Executive management</w:t>
            </w:r>
          </w:p>
        </w:tc>
        <w:tc>
          <w:tcPr>
            <w:tcW w:w="2552" w:type="dxa"/>
          </w:tcPr>
          <w:p w14:paraId="798963E4"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13.2</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26CA23A5" w14:textId="60C8F57F" w:rsidR="00DD7215" w:rsidRPr="00FF0C5C" w:rsidRDefault="00DD7215" w:rsidP="00393C26">
            <w:pPr>
              <w:rPr>
                <w:sz w:val="16"/>
                <w:szCs w:val="16"/>
              </w:rPr>
            </w:pPr>
            <w:r w:rsidRPr="00FF0C5C">
              <w:rPr>
                <w:sz w:val="16"/>
                <w:szCs w:val="16"/>
              </w:rPr>
              <w:t>1</w:t>
            </w:r>
            <w:r w:rsidR="009A3847" w:rsidRPr="00FF0C5C">
              <w:rPr>
                <w:sz w:val="16"/>
                <w:szCs w:val="16"/>
              </w:rPr>
              <w:t>7</w:t>
            </w:r>
          </w:p>
        </w:tc>
      </w:tr>
      <w:tr w:rsidR="00DD7215" w:rsidRPr="00534ECE" w14:paraId="023662C9"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tcPr>
          <w:p w14:paraId="548F619C"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1BA080F4"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Government bodies (statutory bodies and other entities)</w:t>
            </w:r>
          </w:p>
        </w:tc>
        <w:tc>
          <w:tcPr>
            <w:tcW w:w="2552" w:type="dxa"/>
          </w:tcPr>
          <w:p w14:paraId="777FDDF7"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13.3</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7F7337F3" w14:textId="77777777" w:rsidR="00DD7215" w:rsidRPr="00FF0C5C" w:rsidRDefault="00DD7215" w:rsidP="00393C26">
            <w:pPr>
              <w:rPr>
                <w:sz w:val="16"/>
                <w:szCs w:val="16"/>
              </w:rPr>
            </w:pPr>
            <w:r w:rsidRPr="00FF0C5C">
              <w:rPr>
                <w:sz w:val="16"/>
                <w:szCs w:val="16"/>
              </w:rPr>
              <w:t>Nil</w:t>
            </w:r>
          </w:p>
        </w:tc>
      </w:tr>
      <w:tr w:rsidR="00DD7215" w:rsidRPr="00534ECE" w14:paraId="43C99D0E"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7B787615"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7570542" w14:textId="77777777" w:rsidR="00DD7215" w:rsidRPr="00534ECE" w:rsidRDefault="00DD7215" w:rsidP="008F77AC">
            <w:pPr>
              <w:pStyle w:val="Text"/>
              <w:tabs>
                <w:tab w:val="clear" w:pos="1713"/>
              </w:tabs>
              <w:spacing w:after="120"/>
              <w:rPr>
                <w:rFonts w:cs="Arial"/>
                <w:b/>
                <w:sz w:val="16"/>
                <w:szCs w:val="16"/>
              </w:rPr>
            </w:pPr>
            <w:r w:rsidRPr="00872128">
              <w:rPr>
                <w:rFonts w:cs="Arial"/>
                <w:b/>
                <w:sz w:val="16"/>
                <w:szCs w:val="16"/>
              </w:rPr>
              <w:t>Public Sector Ethics</w:t>
            </w:r>
            <w:r w:rsidRPr="00534ECE">
              <w:rPr>
                <w:rFonts w:cs="Arial"/>
                <w:b/>
                <w:i/>
                <w:sz w:val="16"/>
                <w:szCs w:val="16"/>
              </w:rPr>
              <w:t xml:space="preserve"> </w:t>
            </w:r>
          </w:p>
        </w:tc>
        <w:tc>
          <w:tcPr>
            <w:tcW w:w="2552" w:type="dxa"/>
          </w:tcPr>
          <w:p w14:paraId="407188AC"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i/>
                <w:sz w:val="16"/>
                <w:szCs w:val="16"/>
              </w:rPr>
            </w:pPr>
            <w:r w:rsidRPr="00534ECE">
              <w:rPr>
                <w:rFonts w:cs="Arial"/>
                <w:i/>
                <w:sz w:val="16"/>
                <w:szCs w:val="16"/>
              </w:rPr>
              <w:t>Public Sector Ethics Act 1994</w:t>
            </w:r>
          </w:p>
          <w:p w14:paraId="5E950433"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13.4</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15CF10F1" w14:textId="7B41B496" w:rsidR="00DD7215" w:rsidRPr="00FF0C5C" w:rsidRDefault="00DD7215" w:rsidP="00393C26">
            <w:pPr>
              <w:rPr>
                <w:sz w:val="16"/>
                <w:szCs w:val="16"/>
              </w:rPr>
            </w:pPr>
            <w:r w:rsidRPr="00FF0C5C">
              <w:rPr>
                <w:sz w:val="16"/>
                <w:szCs w:val="16"/>
              </w:rPr>
              <w:t>1</w:t>
            </w:r>
            <w:r w:rsidR="009E7111">
              <w:rPr>
                <w:sz w:val="16"/>
                <w:szCs w:val="16"/>
              </w:rPr>
              <w:t>7</w:t>
            </w:r>
          </w:p>
        </w:tc>
      </w:tr>
      <w:tr w:rsidR="00DD7215" w:rsidRPr="00534ECE" w14:paraId="5EB0A9BE"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tcPr>
          <w:p w14:paraId="289B0212"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DAB3A2A" w14:textId="77777777" w:rsidR="00DD7215" w:rsidRPr="00872128" w:rsidRDefault="00DD7215" w:rsidP="008F77AC">
            <w:pPr>
              <w:pStyle w:val="Text"/>
              <w:tabs>
                <w:tab w:val="clear" w:pos="1713"/>
              </w:tabs>
              <w:spacing w:after="120"/>
              <w:rPr>
                <w:rFonts w:cs="Arial"/>
                <w:b/>
                <w:sz w:val="16"/>
                <w:szCs w:val="16"/>
              </w:rPr>
            </w:pPr>
            <w:r w:rsidRPr="00872128">
              <w:rPr>
                <w:rFonts w:cs="Arial"/>
                <w:b/>
                <w:sz w:val="16"/>
                <w:szCs w:val="16"/>
              </w:rPr>
              <w:t xml:space="preserve">Human Rights </w:t>
            </w:r>
          </w:p>
        </w:tc>
        <w:tc>
          <w:tcPr>
            <w:tcW w:w="2552" w:type="dxa"/>
          </w:tcPr>
          <w:p w14:paraId="0CE33DFE" w14:textId="77777777" w:rsidR="00DD7215" w:rsidRPr="006C175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i/>
                <w:sz w:val="16"/>
                <w:szCs w:val="16"/>
              </w:rPr>
            </w:pPr>
            <w:r>
              <w:rPr>
                <w:rFonts w:cs="Arial"/>
                <w:i/>
                <w:sz w:val="16"/>
                <w:szCs w:val="16"/>
              </w:rPr>
              <w:t>Human Rights Act 2019</w:t>
            </w:r>
          </w:p>
          <w:p w14:paraId="04CDFFDC"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ARRs – section 13.5</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6DDD5271" w14:textId="0BF4659F" w:rsidR="00DD7215" w:rsidRPr="00FF0C5C" w:rsidRDefault="00DD7215" w:rsidP="00393C26">
            <w:pPr>
              <w:rPr>
                <w:sz w:val="16"/>
                <w:szCs w:val="16"/>
              </w:rPr>
            </w:pPr>
            <w:r w:rsidRPr="00FF0C5C">
              <w:rPr>
                <w:sz w:val="16"/>
                <w:szCs w:val="16"/>
              </w:rPr>
              <w:t>1</w:t>
            </w:r>
            <w:r w:rsidR="00E828D1" w:rsidRPr="00FF0C5C">
              <w:rPr>
                <w:sz w:val="16"/>
                <w:szCs w:val="16"/>
              </w:rPr>
              <w:t>8</w:t>
            </w:r>
          </w:p>
        </w:tc>
      </w:tr>
      <w:tr w:rsidR="00DD7215" w:rsidRPr="00534ECE" w14:paraId="2F83F86B"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A6CBF0E"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8EA5E8A" w14:textId="77777777" w:rsidR="00DD7215" w:rsidRPr="00534ECE" w:rsidRDefault="00DD7215" w:rsidP="008F77AC">
            <w:pPr>
              <w:pStyle w:val="Text"/>
              <w:tabs>
                <w:tab w:val="clear" w:pos="1713"/>
              </w:tabs>
              <w:spacing w:after="120"/>
              <w:rPr>
                <w:rFonts w:cs="Arial"/>
                <w:b/>
                <w:i/>
                <w:sz w:val="16"/>
                <w:szCs w:val="16"/>
              </w:rPr>
            </w:pPr>
            <w:r w:rsidRPr="00534ECE">
              <w:rPr>
                <w:rFonts w:cs="Arial"/>
                <w:b/>
                <w:sz w:val="16"/>
                <w:szCs w:val="16"/>
              </w:rPr>
              <w:t>Queensland public service values</w:t>
            </w:r>
          </w:p>
        </w:tc>
        <w:tc>
          <w:tcPr>
            <w:tcW w:w="2552" w:type="dxa"/>
          </w:tcPr>
          <w:p w14:paraId="5239C7E5"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i/>
                <w:sz w:val="16"/>
                <w:szCs w:val="16"/>
              </w:rPr>
            </w:pPr>
            <w:r w:rsidRPr="00534ECE">
              <w:rPr>
                <w:rFonts w:cs="Arial"/>
                <w:sz w:val="16"/>
                <w:szCs w:val="16"/>
              </w:rPr>
              <w:t>ARRs – section 13.</w:t>
            </w:r>
            <w:r>
              <w:rPr>
                <w:rFonts w:cs="Arial"/>
                <w:sz w:val="16"/>
                <w:szCs w:val="16"/>
              </w:rPr>
              <w:t>6</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DB68E76" w14:textId="635BA2FB" w:rsidR="00DD7215" w:rsidRPr="00FF0C5C" w:rsidRDefault="00C20C85" w:rsidP="00393C26">
            <w:pPr>
              <w:rPr>
                <w:sz w:val="16"/>
                <w:szCs w:val="16"/>
              </w:rPr>
            </w:pPr>
            <w:r>
              <w:rPr>
                <w:sz w:val="16"/>
                <w:szCs w:val="16"/>
              </w:rPr>
              <w:t>4</w:t>
            </w:r>
          </w:p>
        </w:tc>
      </w:tr>
      <w:tr w:rsidR="00DD7215" w:rsidRPr="00534ECE" w14:paraId="0DACAC2B" w14:textId="77777777" w:rsidTr="00393C26">
        <w:tc>
          <w:tcPr>
            <w:cnfStyle w:val="001000000000" w:firstRow="0" w:lastRow="0" w:firstColumn="1" w:lastColumn="0" w:oddVBand="0" w:evenVBand="0" w:oddHBand="0" w:evenHBand="0" w:firstRowFirstColumn="0" w:firstRowLastColumn="0" w:lastRowFirstColumn="0" w:lastRowLastColumn="0"/>
            <w:tcW w:w="1838" w:type="dxa"/>
            <w:vMerge w:val="restart"/>
          </w:tcPr>
          <w:p w14:paraId="16789BE3" w14:textId="77777777" w:rsidR="00DD7215" w:rsidRDefault="00DD7215" w:rsidP="008F77AC">
            <w:pPr>
              <w:pStyle w:val="Text"/>
              <w:spacing w:after="120"/>
              <w:rPr>
                <w:rFonts w:cs="Arial"/>
                <w:b w:val="0"/>
                <w:bCs w:val="0"/>
                <w:sz w:val="16"/>
                <w:szCs w:val="16"/>
              </w:rPr>
            </w:pPr>
            <w:r w:rsidRPr="00534ECE">
              <w:rPr>
                <w:rFonts w:cs="Arial"/>
                <w:sz w:val="16"/>
                <w:szCs w:val="16"/>
              </w:rPr>
              <w:t>Governance – risk management and accountability</w:t>
            </w:r>
          </w:p>
          <w:p w14:paraId="4248511F" w14:textId="77777777" w:rsidR="006F00C2" w:rsidRPr="006F00C2" w:rsidRDefault="006F00C2" w:rsidP="003661A7">
            <w:pPr>
              <w:rPr>
                <w:lang w:eastAsia="en-AU"/>
              </w:rPr>
            </w:pPr>
          </w:p>
          <w:p w14:paraId="74DDF982" w14:textId="2C01207E" w:rsidR="006F00C2" w:rsidRPr="006F00C2" w:rsidRDefault="006F00C2" w:rsidP="006F00C2">
            <w:pPr>
              <w:rPr>
                <w:lang w:eastAsia="en-AU"/>
              </w:rPr>
            </w:pPr>
          </w:p>
        </w:tc>
        <w:tc>
          <w:tcPr>
            <w:cnfStyle w:val="000010000000" w:firstRow="0" w:lastRow="0" w:firstColumn="0" w:lastColumn="0" w:oddVBand="1" w:evenVBand="0" w:oddHBand="0" w:evenHBand="0" w:firstRowFirstColumn="0" w:firstRowLastColumn="0" w:lastRowFirstColumn="0" w:lastRowLastColumn="0"/>
            <w:tcW w:w="3402" w:type="dxa"/>
          </w:tcPr>
          <w:p w14:paraId="02B9EBDD"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Risk management</w:t>
            </w:r>
          </w:p>
        </w:tc>
        <w:tc>
          <w:tcPr>
            <w:tcW w:w="2552" w:type="dxa"/>
          </w:tcPr>
          <w:p w14:paraId="319A25AC" w14:textId="77777777" w:rsidR="00DD7215" w:rsidRPr="00534ECE" w:rsidRDefault="00DD7215" w:rsidP="008F77AC">
            <w:pPr>
              <w:pStyle w:val="Text"/>
              <w:tabs>
                <w:tab w:val="right" w:pos="2304"/>
              </w:tabs>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14.1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1A40DA9" w14:textId="1FA7426E" w:rsidR="00DD7215" w:rsidRPr="00FF0C5C" w:rsidRDefault="00DD7215" w:rsidP="00393C26">
            <w:pPr>
              <w:rPr>
                <w:sz w:val="16"/>
                <w:szCs w:val="16"/>
              </w:rPr>
            </w:pPr>
            <w:r w:rsidRPr="00FF0C5C">
              <w:rPr>
                <w:sz w:val="16"/>
                <w:szCs w:val="16"/>
              </w:rPr>
              <w:t>1</w:t>
            </w:r>
            <w:r w:rsidR="00B0002A" w:rsidRPr="00FF0C5C">
              <w:rPr>
                <w:sz w:val="16"/>
                <w:szCs w:val="16"/>
              </w:rPr>
              <w:t>8</w:t>
            </w:r>
          </w:p>
        </w:tc>
      </w:tr>
      <w:tr w:rsidR="00DD7215" w:rsidRPr="00534ECE" w14:paraId="44F8251F" w14:textId="77777777" w:rsidTr="0039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455A1B3"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4291838"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Audit committee</w:t>
            </w:r>
          </w:p>
        </w:tc>
        <w:tc>
          <w:tcPr>
            <w:tcW w:w="2552" w:type="dxa"/>
          </w:tcPr>
          <w:p w14:paraId="479309C7"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14.2</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6EEAE8F6" w14:textId="607E4CB2" w:rsidR="00DD7215" w:rsidRPr="00FF0C5C" w:rsidRDefault="00DD7215" w:rsidP="00393C26">
            <w:pPr>
              <w:rPr>
                <w:sz w:val="16"/>
                <w:szCs w:val="16"/>
              </w:rPr>
            </w:pPr>
            <w:r w:rsidRPr="00FF0C5C">
              <w:rPr>
                <w:sz w:val="16"/>
                <w:szCs w:val="16"/>
              </w:rPr>
              <w:t>1</w:t>
            </w:r>
            <w:r w:rsidR="00B0002A" w:rsidRPr="00FF0C5C">
              <w:rPr>
                <w:sz w:val="16"/>
                <w:szCs w:val="16"/>
              </w:rPr>
              <w:t>8</w:t>
            </w:r>
          </w:p>
        </w:tc>
      </w:tr>
      <w:tr w:rsidR="00DD7215" w:rsidRPr="00534ECE" w14:paraId="62281AF8" w14:textId="77777777" w:rsidTr="00393C26">
        <w:trPr>
          <w:trHeight w:val="422"/>
        </w:trPr>
        <w:tc>
          <w:tcPr>
            <w:cnfStyle w:val="001000000000" w:firstRow="0" w:lastRow="0" w:firstColumn="1" w:lastColumn="0" w:oddVBand="0" w:evenVBand="0" w:oddHBand="0" w:evenHBand="0" w:firstRowFirstColumn="0" w:firstRowLastColumn="0" w:lastRowFirstColumn="0" w:lastRowLastColumn="0"/>
            <w:tcW w:w="1838" w:type="dxa"/>
            <w:vMerge/>
          </w:tcPr>
          <w:p w14:paraId="7EB4E48F"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CB13B08"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Internal audit</w:t>
            </w:r>
          </w:p>
        </w:tc>
        <w:tc>
          <w:tcPr>
            <w:tcW w:w="2552" w:type="dxa"/>
          </w:tcPr>
          <w:p w14:paraId="36329020"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14.3</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4CCFFCF5" w14:textId="0E34E30D" w:rsidR="00DD7215" w:rsidRPr="00FF0C5C" w:rsidRDefault="00DD7215" w:rsidP="00393C26">
            <w:pPr>
              <w:rPr>
                <w:sz w:val="16"/>
                <w:szCs w:val="16"/>
              </w:rPr>
            </w:pPr>
            <w:r w:rsidRPr="00FF0C5C">
              <w:rPr>
                <w:sz w:val="16"/>
                <w:szCs w:val="16"/>
              </w:rPr>
              <w:t>1</w:t>
            </w:r>
            <w:r w:rsidR="00B0002A" w:rsidRPr="00FF0C5C">
              <w:rPr>
                <w:sz w:val="16"/>
                <w:szCs w:val="16"/>
              </w:rPr>
              <w:t>9</w:t>
            </w:r>
          </w:p>
        </w:tc>
      </w:tr>
      <w:tr w:rsidR="00DD7215" w:rsidRPr="00534ECE" w14:paraId="1283A030" w14:textId="77777777" w:rsidTr="00393C2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38" w:type="dxa"/>
            <w:vMerge/>
          </w:tcPr>
          <w:p w14:paraId="379F7F60"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CE65333"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External scrutiny</w:t>
            </w:r>
          </w:p>
        </w:tc>
        <w:tc>
          <w:tcPr>
            <w:tcW w:w="2552" w:type="dxa"/>
          </w:tcPr>
          <w:p w14:paraId="2B12B6C0"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14.4</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07F9BAE5" w14:textId="6638B1B2" w:rsidR="00DD7215" w:rsidRPr="00FF0C5C" w:rsidRDefault="00DD7215" w:rsidP="00393C26">
            <w:pPr>
              <w:rPr>
                <w:sz w:val="16"/>
                <w:szCs w:val="16"/>
              </w:rPr>
            </w:pPr>
            <w:r w:rsidRPr="00FF0C5C">
              <w:rPr>
                <w:sz w:val="16"/>
                <w:szCs w:val="16"/>
              </w:rPr>
              <w:t>1</w:t>
            </w:r>
            <w:r w:rsidR="00676026" w:rsidRPr="00FF0C5C">
              <w:rPr>
                <w:sz w:val="16"/>
                <w:szCs w:val="16"/>
              </w:rPr>
              <w:t>9</w:t>
            </w:r>
          </w:p>
        </w:tc>
      </w:tr>
      <w:tr w:rsidR="00DD7215" w:rsidRPr="00534ECE" w14:paraId="61CC164D" w14:textId="77777777" w:rsidTr="00584A1C">
        <w:trPr>
          <w:trHeight w:val="422"/>
        </w:trPr>
        <w:tc>
          <w:tcPr>
            <w:cnfStyle w:val="001000000000" w:firstRow="0" w:lastRow="0" w:firstColumn="1" w:lastColumn="0" w:oddVBand="0" w:evenVBand="0" w:oddHBand="0" w:evenHBand="0" w:firstRowFirstColumn="0" w:firstRowLastColumn="0" w:lastRowFirstColumn="0" w:lastRowLastColumn="0"/>
            <w:tcW w:w="1838" w:type="dxa"/>
            <w:vMerge/>
          </w:tcPr>
          <w:p w14:paraId="5EA4FF5E"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AE5A03F"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Information systems and recordkeeping</w:t>
            </w:r>
          </w:p>
        </w:tc>
        <w:tc>
          <w:tcPr>
            <w:tcW w:w="2552" w:type="dxa"/>
          </w:tcPr>
          <w:p w14:paraId="56418EB1"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14.5</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2C0BF53E" w14:textId="64048DDE" w:rsidR="00DD7215" w:rsidRPr="00584A1C" w:rsidRDefault="002A4379" w:rsidP="00584A1C">
            <w:pPr>
              <w:rPr>
                <w:sz w:val="16"/>
                <w:szCs w:val="16"/>
              </w:rPr>
            </w:pPr>
            <w:r w:rsidRPr="00584A1C">
              <w:rPr>
                <w:sz w:val="16"/>
                <w:szCs w:val="16"/>
              </w:rPr>
              <w:t>20</w:t>
            </w:r>
          </w:p>
        </w:tc>
      </w:tr>
      <w:tr w:rsidR="00DD7215" w:rsidRPr="00534ECE" w14:paraId="7CB92FC6" w14:textId="77777777" w:rsidTr="00584A1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838" w:type="dxa"/>
            <w:vMerge/>
          </w:tcPr>
          <w:p w14:paraId="6D806C73"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2CD67DE" w14:textId="77777777" w:rsidR="00DD7215" w:rsidRPr="00534ECE" w:rsidRDefault="00DD7215" w:rsidP="008F77AC">
            <w:pPr>
              <w:pStyle w:val="Text"/>
              <w:tabs>
                <w:tab w:val="clear" w:pos="1713"/>
              </w:tabs>
              <w:spacing w:after="120"/>
              <w:rPr>
                <w:rFonts w:cs="Arial"/>
                <w:b/>
                <w:sz w:val="16"/>
                <w:szCs w:val="16"/>
              </w:rPr>
            </w:pPr>
            <w:r>
              <w:rPr>
                <w:rFonts w:cs="Arial"/>
                <w:b/>
                <w:sz w:val="16"/>
                <w:szCs w:val="16"/>
              </w:rPr>
              <w:t>Information Security attestation</w:t>
            </w:r>
          </w:p>
        </w:tc>
        <w:tc>
          <w:tcPr>
            <w:tcW w:w="2552" w:type="dxa"/>
          </w:tcPr>
          <w:p w14:paraId="4D16A5A9"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ARRs – section 14.6</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78DE2187" w14:textId="7F336073" w:rsidR="00DD7215" w:rsidRPr="00584A1C" w:rsidRDefault="002A4379" w:rsidP="00584A1C">
            <w:pPr>
              <w:rPr>
                <w:sz w:val="16"/>
                <w:szCs w:val="16"/>
              </w:rPr>
            </w:pPr>
            <w:r w:rsidRPr="00584A1C">
              <w:rPr>
                <w:sz w:val="16"/>
                <w:szCs w:val="16"/>
              </w:rPr>
              <w:t>20</w:t>
            </w:r>
          </w:p>
        </w:tc>
      </w:tr>
      <w:tr w:rsidR="00DD7215" w:rsidRPr="00534ECE" w14:paraId="2F5FC1D8" w14:textId="77777777" w:rsidTr="00584A1C">
        <w:tc>
          <w:tcPr>
            <w:cnfStyle w:val="001000000000" w:firstRow="0" w:lastRow="0" w:firstColumn="1" w:lastColumn="0" w:oddVBand="0" w:evenVBand="0" w:oddHBand="0" w:evenHBand="0" w:firstRowFirstColumn="0" w:firstRowLastColumn="0" w:lastRowFirstColumn="0" w:lastRowLastColumn="0"/>
            <w:tcW w:w="1838" w:type="dxa"/>
            <w:vMerge w:val="restart"/>
          </w:tcPr>
          <w:p w14:paraId="676AC952" w14:textId="77777777" w:rsidR="00DD7215" w:rsidRPr="00534ECE" w:rsidRDefault="00DD7215" w:rsidP="008F77AC">
            <w:pPr>
              <w:pStyle w:val="Text"/>
              <w:spacing w:after="120"/>
              <w:rPr>
                <w:rFonts w:cs="Arial"/>
                <w:b w:val="0"/>
                <w:bCs w:val="0"/>
                <w:sz w:val="16"/>
                <w:szCs w:val="16"/>
              </w:rPr>
            </w:pPr>
            <w:r w:rsidRPr="00534ECE">
              <w:rPr>
                <w:rFonts w:cs="Arial"/>
                <w:sz w:val="16"/>
                <w:szCs w:val="16"/>
              </w:rPr>
              <w:t>Governance – human resources</w:t>
            </w:r>
          </w:p>
        </w:tc>
        <w:tc>
          <w:tcPr>
            <w:cnfStyle w:val="000010000000" w:firstRow="0" w:lastRow="0" w:firstColumn="0" w:lastColumn="0" w:oddVBand="1" w:evenVBand="0" w:oddHBand="0" w:evenHBand="0" w:firstRowFirstColumn="0" w:firstRowLastColumn="0" w:lastRowFirstColumn="0" w:lastRowLastColumn="0"/>
            <w:tcW w:w="3402" w:type="dxa"/>
          </w:tcPr>
          <w:p w14:paraId="06BA3B84"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Strategic workforce planning and performance</w:t>
            </w:r>
          </w:p>
        </w:tc>
        <w:tc>
          <w:tcPr>
            <w:tcW w:w="2552" w:type="dxa"/>
          </w:tcPr>
          <w:p w14:paraId="3189D992"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15.1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106C8CBC" w14:textId="77729743" w:rsidR="00DD7215" w:rsidRPr="00584A1C" w:rsidRDefault="00821309" w:rsidP="00584A1C">
            <w:pPr>
              <w:rPr>
                <w:sz w:val="16"/>
                <w:szCs w:val="16"/>
              </w:rPr>
            </w:pPr>
            <w:r w:rsidRPr="00584A1C">
              <w:rPr>
                <w:sz w:val="16"/>
                <w:szCs w:val="16"/>
              </w:rPr>
              <w:t>2</w:t>
            </w:r>
            <w:r w:rsidR="00E92C74" w:rsidRPr="00584A1C">
              <w:rPr>
                <w:sz w:val="16"/>
                <w:szCs w:val="16"/>
              </w:rPr>
              <w:t>1</w:t>
            </w:r>
          </w:p>
        </w:tc>
      </w:tr>
      <w:tr w:rsidR="00DD7215" w:rsidRPr="00534ECE" w14:paraId="5C2C0B17" w14:textId="77777777" w:rsidTr="005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079C4221" w14:textId="77777777" w:rsidR="00DD7215" w:rsidRPr="00534ECE" w:rsidRDefault="00DD7215" w:rsidP="008F77AC">
            <w:pPr>
              <w:pStyle w:val="Text"/>
              <w:spacing w:after="120"/>
              <w:rPr>
                <w:rFonts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3402" w:type="dxa"/>
          </w:tcPr>
          <w:p w14:paraId="10A1AA7B"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 xml:space="preserve">Early retirement, </w:t>
            </w:r>
            <w:proofErr w:type="gramStart"/>
            <w:r w:rsidRPr="00534ECE">
              <w:rPr>
                <w:rFonts w:cs="Arial"/>
                <w:b/>
                <w:sz w:val="16"/>
                <w:szCs w:val="16"/>
              </w:rPr>
              <w:t>redundancy</w:t>
            </w:r>
            <w:proofErr w:type="gramEnd"/>
            <w:r w:rsidRPr="00534ECE">
              <w:rPr>
                <w:rFonts w:cs="Arial"/>
                <w:b/>
                <w:sz w:val="16"/>
                <w:szCs w:val="16"/>
              </w:rPr>
              <w:t xml:space="preserve"> and retrenchment</w:t>
            </w:r>
          </w:p>
        </w:tc>
        <w:tc>
          <w:tcPr>
            <w:tcW w:w="2552" w:type="dxa"/>
          </w:tcPr>
          <w:p w14:paraId="2515F6E5"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 xml:space="preserve">Directive No.04/18 </w:t>
            </w:r>
            <w:r w:rsidRPr="00534ECE">
              <w:rPr>
                <w:rFonts w:cs="Arial"/>
                <w:i/>
                <w:sz w:val="16"/>
                <w:szCs w:val="16"/>
              </w:rPr>
              <w:t xml:space="preserve">Early Retirement, Redundancy and Retrenchment </w:t>
            </w:r>
          </w:p>
          <w:p w14:paraId="56AD6A3C"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15.2</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55D15EBB" w14:textId="0B32637C" w:rsidR="00DD7215" w:rsidRPr="00584A1C" w:rsidRDefault="00821309" w:rsidP="00584A1C">
            <w:pPr>
              <w:rPr>
                <w:sz w:val="16"/>
                <w:szCs w:val="16"/>
              </w:rPr>
            </w:pPr>
            <w:r w:rsidRPr="00584A1C">
              <w:rPr>
                <w:rStyle w:val="Hyperlink"/>
                <w:rFonts w:eastAsiaTheme="majorEastAsia" w:cs="Arial"/>
                <w:bCs w:val="0"/>
                <w:color w:val="auto"/>
                <w:sz w:val="16"/>
                <w:szCs w:val="16"/>
                <w:u w:val="none"/>
              </w:rPr>
              <w:t>2</w:t>
            </w:r>
            <w:r w:rsidR="003C3D6D" w:rsidRPr="00584A1C">
              <w:rPr>
                <w:rStyle w:val="Hyperlink"/>
                <w:rFonts w:eastAsiaTheme="majorEastAsia" w:cs="Arial"/>
                <w:bCs w:val="0"/>
                <w:color w:val="auto"/>
                <w:sz w:val="16"/>
                <w:szCs w:val="16"/>
                <w:u w:val="none"/>
              </w:rPr>
              <w:t>1</w:t>
            </w:r>
          </w:p>
        </w:tc>
      </w:tr>
      <w:tr w:rsidR="00DD7215" w:rsidRPr="00534ECE" w14:paraId="4D4E239D" w14:textId="77777777" w:rsidTr="00584A1C">
        <w:tc>
          <w:tcPr>
            <w:cnfStyle w:val="001000000000" w:firstRow="0" w:lastRow="0" w:firstColumn="1" w:lastColumn="0" w:oddVBand="0" w:evenVBand="0" w:oddHBand="0" w:evenHBand="0" w:firstRowFirstColumn="0" w:firstRowLastColumn="0" w:lastRowFirstColumn="0" w:lastRowLastColumn="0"/>
            <w:tcW w:w="1838" w:type="dxa"/>
            <w:vMerge w:val="restart"/>
          </w:tcPr>
          <w:p w14:paraId="20B2656C" w14:textId="3C96F273" w:rsidR="00DD7215" w:rsidRPr="00534ECE" w:rsidRDefault="00DD7215" w:rsidP="008F77AC">
            <w:pPr>
              <w:pStyle w:val="Text"/>
              <w:spacing w:after="120"/>
              <w:rPr>
                <w:rFonts w:cs="Arial"/>
                <w:b w:val="0"/>
                <w:bCs w:val="0"/>
                <w:sz w:val="16"/>
              </w:rPr>
            </w:pPr>
            <w:r w:rsidRPr="00534ECE">
              <w:rPr>
                <w:rFonts w:cs="Arial"/>
                <w:sz w:val="16"/>
              </w:rPr>
              <w:t xml:space="preserve">Open </w:t>
            </w:r>
            <w:r w:rsidR="006F1A83">
              <w:rPr>
                <w:rFonts w:cs="Arial"/>
                <w:sz w:val="16"/>
              </w:rPr>
              <w:t>d</w:t>
            </w:r>
            <w:r w:rsidR="006F1A83" w:rsidRPr="00534ECE">
              <w:rPr>
                <w:rFonts w:cs="Arial"/>
                <w:sz w:val="16"/>
              </w:rPr>
              <w:t>ata</w:t>
            </w:r>
          </w:p>
        </w:tc>
        <w:tc>
          <w:tcPr>
            <w:cnfStyle w:val="000010000000" w:firstRow="0" w:lastRow="0" w:firstColumn="0" w:lastColumn="0" w:oddVBand="1" w:evenVBand="0" w:oddHBand="0" w:evenHBand="0" w:firstRowFirstColumn="0" w:firstRowLastColumn="0" w:lastRowFirstColumn="0" w:lastRowLastColumn="0"/>
            <w:tcW w:w="3402" w:type="dxa"/>
          </w:tcPr>
          <w:p w14:paraId="76E9A192"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Statement advising publication of information</w:t>
            </w:r>
          </w:p>
        </w:tc>
        <w:tc>
          <w:tcPr>
            <w:tcW w:w="2552" w:type="dxa"/>
          </w:tcPr>
          <w:p w14:paraId="7BE846DC"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16</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18F36A9F" w14:textId="77777777" w:rsidR="00DD7215" w:rsidRPr="00584A1C" w:rsidRDefault="00DD7215" w:rsidP="00584A1C">
            <w:pPr>
              <w:rPr>
                <w:sz w:val="16"/>
                <w:szCs w:val="16"/>
              </w:rPr>
            </w:pPr>
            <w:r w:rsidRPr="00584A1C">
              <w:rPr>
                <w:sz w:val="16"/>
                <w:szCs w:val="16"/>
              </w:rPr>
              <w:t>i</w:t>
            </w:r>
          </w:p>
        </w:tc>
      </w:tr>
      <w:tr w:rsidR="00DD7215" w:rsidRPr="00534ECE" w14:paraId="0E754D8C" w14:textId="77777777" w:rsidTr="005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49B90D4F"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B407048"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 xml:space="preserve">Consultancies </w:t>
            </w:r>
          </w:p>
        </w:tc>
        <w:tc>
          <w:tcPr>
            <w:tcW w:w="2552" w:type="dxa"/>
          </w:tcPr>
          <w:p w14:paraId="5220592A"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33.1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3E098663" w14:textId="77777777" w:rsidR="00DD7215" w:rsidRPr="00584A1C" w:rsidRDefault="00DD7215" w:rsidP="00584A1C">
            <w:pPr>
              <w:rPr>
                <w:sz w:val="16"/>
                <w:szCs w:val="16"/>
              </w:rPr>
            </w:pPr>
            <w:r w:rsidRPr="00584A1C">
              <w:rPr>
                <w:rStyle w:val="Hyperlink"/>
                <w:rFonts w:eastAsiaTheme="majorEastAsia" w:cs="Arial"/>
                <w:bCs w:val="0"/>
                <w:color w:val="auto"/>
                <w:sz w:val="16"/>
                <w:szCs w:val="16"/>
              </w:rPr>
              <w:t>https://data.qld.gov.au</w:t>
            </w:r>
          </w:p>
        </w:tc>
      </w:tr>
      <w:tr w:rsidR="00DD7215" w:rsidRPr="00534ECE" w14:paraId="223C5E2C" w14:textId="77777777" w:rsidTr="00584A1C">
        <w:tc>
          <w:tcPr>
            <w:cnfStyle w:val="001000000000" w:firstRow="0" w:lastRow="0" w:firstColumn="1" w:lastColumn="0" w:oddVBand="0" w:evenVBand="0" w:oddHBand="0" w:evenHBand="0" w:firstRowFirstColumn="0" w:firstRowLastColumn="0" w:lastRowFirstColumn="0" w:lastRowLastColumn="0"/>
            <w:tcW w:w="1838" w:type="dxa"/>
            <w:vMerge/>
          </w:tcPr>
          <w:p w14:paraId="452CB592"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5F3E8757"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Overseas travel</w:t>
            </w:r>
          </w:p>
        </w:tc>
        <w:tc>
          <w:tcPr>
            <w:tcW w:w="2552" w:type="dxa"/>
          </w:tcPr>
          <w:p w14:paraId="7CDB049F"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33.2</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794D36CD" w14:textId="553AA7B9" w:rsidR="00DD7215" w:rsidRPr="00584A1C" w:rsidRDefault="00821309" w:rsidP="00584A1C">
            <w:pPr>
              <w:rPr>
                <w:sz w:val="16"/>
                <w:szCs w:val="16"/>
              </w:rPr>
            </w:pPr>
            <w:r w:rsidRPr="00584A1C">
              <w:rPr>
                <w:sz w:val="16"/>
                <w:szCs w:val="16"/>
              </w:rPr>
              <w:t>i</w:t>
            </w:r>
          </w:p>
        </w:tc>
      </w:tr>
      <w:tr w:rsidR="00DD7215" w:rsidRPr="00534ECE" w14:paraId="05C00565" w14:textId="77777777" w:rsidTr="00584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00F56FAA" w14:textId="77777777" w:rsidR="00DD7215" w:rsidRPr="00534ECE" w:rsidRDefault="00DD7215" w:rsidP="008F77AC">
            <w:pPr>
              <w:pStyle w:val="Text"/>
              <w:spacing w:after="120"/>
              <w:rPr>
                <w:rFonts w:cs="Arial"/>
                <w:b w:val="0"/>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62C990A4"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Queensland Language Services Policy</w:t>
            </w:r>
          </w:p>
        </w:tc>
        <w:tc>
          <w:tcPr>
            <w:tcW w:w="2552" w:type="dxa"/>
          </w:tcPr>
          <w:p w14:paraId="69BED325" w14:textId="77777777" w:rsidR="00DD7215" w:rsidRPr="00534ECE" w:rsidRDefault="00DD7215" w:rsidP="008F77AC">
            <w:pPr>
              <w:pStyle w:val="Text"/>
              <w:spacing w:after="120"/>
              <w:cnfStyle w:val="000000100000" w:firstRow="0" w:lastRow="0" w:firstColumn="0" w:lastColumn="0" w:oddVBand="0" w:evenVBand="0" w:oddHBand="1" w:evenHBand="0" w:firstRowFirstColumn="0" w:firstRowLastColumn="0" w:lastRowFirstColumn="0" w:lastRowLastColumn="0"/>
              <w:rPr>
                <w:rFonts w:cs="Arial"/>
                <w:sz w:val="16"/>
                <w:szCs w:val="16"/>
              </w:rPr>
            </w:pPr>
            <w:r w:rsidRPr="00534ECE">
              <w:rPr>
                <w:rFonts w:cs="Arial"/>
                <w:sz w:val="16"/>
                <w:szCs w:val="16"/>
              </w:rPr>
              <w:t>ARRs – section 33.3</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58B72980" w14:textId="77777777" w:rsidR="00DD7215" w:rsidRPr="00584A1C" w:rsidRDefault="00DD7215" w:rsidP="00584A1C">
            <w:pPr>
              <w:rPr>
                <w:sz w:val="16"/>
                <w:szCs w:val="16"/>
              </w:rPr>
            </w:pPr>
            <w:r w:rsidRPr="00584A1C">
              <w:rPr>
                <w:rStyle w:val="Hyperlink"/>
                <w:rFonts w:eastAsiaTheme="majorEastAsia" w:cs="Arial"/>
                <w:bCs w:val="0"/>
                <w:color w:val="auto"/>
                <w:sz w:val="16"/>
                <w:szCs w:val="16"/>
              </w:rPr>
              <w:t>https://data.qld.gov.au</w:t>
            </w:r>
          </w:p>
        </w:tc>
      </w:tr>
      <w:tr w:rsidR="00DD7215" w:rsidRPr="00534ECE" w14:paraId="461452DC" w14:textId="77777777" w:rsidTr="00584A1C">
        <w:tc>
          <w:tcPr>
            <w:cnfStyle w:val="001000000000" w:firstRow="0" w:lastRow="0" w:firstColumn="1" w:lastColumn="0" w:oddVBand="0" w:evenVBand="0" w:oddHBand="0" w:evenHBand="0" w:firstRowFirstColumn="0" w:firstRowLastColumn="0" w:lastRowFirstColumn="0" w:lastRowLastColumn="0"/>
            <w:tcW w:w="1838" w:type="dxa"/>
            <w:vMerge w:val="restart"/>
          </w:tcPr>
          <w:p w14:paraId="329BAAC4" w14:textId="77777777" w:rsidR="00DD7215" w:rsidRPr="00534ECE" w:rsidRDefault="00DD7215" w:rsidP="008F77AC">
            <w:pPr>
              <w:pStyle w:val="Text"/>
              <w:spacing w:after="120"/>
              <w:rPr>
                <w:rFonts w:cs="Arial"/>
                <w:b w:val="0"/>
                <w:bCs w:val="0"/>
                <w:sz w:val="16"/>
              </w:rPr>
            </w:pPr>
            <w:r w:rsidRPr="00534ECE">
              <w:rPr>
                <w:rFonts w:cs="Arial"/>
                <w:sz w:val="16"/>
              </w:rPr>
              <w:t>Financial statements</w:t>
            </w:r>
          </w:p>
        </w:tc>
        <w:tc>
          <w:tcPr>
            <w:cnfStyle w:val="000010000000" w:firstRow="0" w:lastRow="0" w:firstColumn="0" w:lastColumn="0" w:oddVBand="1" w:evenVBand="0" w:oddHBand="0" w:evenHBand="0" w:firstRowFirstColumn="0" w:firstRowLastColumn="0" w:lastRowFirstColumn="0" w:lastRowLastColumn="0"/>
            <w:tcW w:w="3402" w:type="dxa"/>
          </w:tcPr>
          <w:p w14:paraId="18F2E817" w14:textId="77777777" w:rsidR="00DD7215" w:rsidRPr="00534ECE" w:rsidRDefault="00DD7215" w:rsidP="008F77AC">
            <w:pPr>
              <w:pStyle w:val="Text"/>
              <w:tabs>
                <w:tab w:val="clear" w:pos="1713"/>
              </w:tabs>
              <w:spacing w:after="120"/>
              <w:rPr>
                <w:rFonts w:cs="Arial"/>
                <w:b/>
                <w:sz w:val="16"/>
                <w:szCs w:val="16"/>
              </w:rPr>
            </w:pPr>
            <w:r w:rsidRPr="00534ECE">
              <w:rPr>
                <w:rFonts w:cs="Arial"/>
                <w:b/>
                <w:sz w:val="16"/>
                <w:szCs w:val="16"/>
              </w:rPr>
              <w:t>Certification of financial statements</w:t>
            </w:r>
          </w:p>
        </w:tc>
        <w:tc>
          <w:tcPr>
            <w:tcW w:w="2552" w:type="dxa"/>
          </w:tcPr>
          <w:p w14:paraId="39BE6763"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FAA – section 62</w:t>
            </w:r>
          </w:p>
          <w:p w14:paraId="5891212C"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 xml:space="preserve">FPMS – sections </w:t>
            </w:r>
            <w:r>
              <w:rPr>
                <w:rFonts w:cs="Arial"/>
                <w:sz w:val="16"/>
                <w:szCs w:val="16"/>
              </w:rPr>
              <w:t>38</w:t>
            </w:r>
            <w:r w:rsidRPr="00534ECE">
              <w:rPr>
                <w:rFonts w:cs="Arial"/>
                <w:sz w:val="16"/>
                <w:szCs w:val="16"/>
              </w:rPr>
              <w:t xml:space="preserve">, </w:t>
            </w:r>
            <w:r>
              <w:rPr>
                <w:rFonts w:cs="Arial"/>
                <w:sz w:val="16"/>
                <w:szCs w:val="16"/>
              </w:rPr>
              <w:t>39</w:t>
            </w:r>
            <w:r w:rsidRPr="00534ECE">
              <w:rPr>
                <w:rFonts w:cs="Arial"/>
                <w:sz w:val="16"/>
                <w:szCs w:val="16"/>
              </w:rPr>
              <w:t xml:space="preserve"> and </w:t>
            </w:r>
            <w:r>
              <w:rPr>
                <w:rFonts w:cs="Arial"/>
                <w:sz w:val="16"/>
                <w:szCs w:val="16"/>
              </w:rPr>
              <w:t>46</w:t>
            </w:r>
          </w:p>
          <w:p w14:paraId="52B27784" w14:textId="77777777" w:rsidR="00DD7215" w:rsidRPr="00534ECE" w:rsidRDefault="00DD7215" w:rsidP="008F77AC">
            <w:pPr>
              <w:pStyle w:val="Text"/>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534ECE">
              <w:rPr>
                <w:rFonts w:cs="Arial"/>
                <w:sz w:val="16"/>
                <w:szCs w:val="16"/>
              </w:rPr>
              <w:t>ARRs – section 17.1</w:t>
            </w:r>
          </w:p>
        </w:tc>
        <w:tc>
          <w:tcPr>
            <w:cnfStyle w:val="000100000000" w:firstRow="0" w:lastRow="0" w:firstColumn="0" w:lastColumn="1" w:oddVBand="0" w:evenVBand="0" w:oddHBand="0" w:evenHBand="0" w:firstRowFirstColumn="0" w:firstRowLastColumn="0" w:lastRowFirstColumn="0" w:lastRowLastColumn="0"/>
            <w:tcW w:w="1836" w:type="dxa"/>
            <w:shd w:val="clear" w:color="auto" w:fill="auto"/>
            <w:vAlign w:val="center"/>
          </w:tcPr>
          <w:p w14:paraId="239FD753" w14:textId="6A356491" w:rsidR="00DD7215" w:rsidRPr="00584A1C" w:rsidRDefault="00DA38E2" w:rsidP="00584A1C">
            <w:pPr>
              <w:rPr>
                <w:sz w:val="16"/>
                <w:szCs w:val="16"/>
              </w:rPr>
            </w:pPr>
            <w:r>
              <w:rPr>
                <w:sz w:val="16"/>
                <w:szCs w:val="16"/>
              </w:rPr>
              <w:t>40</w:t>
            </w:r>
          </w:p>
        </w:tc>
      </w:tr>
      <w:tr w:rsidR="00DD7215" w:rsidRPr="00534ECE" w14:paraId="238E0142" w14:textId="77777777" w:rsidTr="00584A1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838" w:type="dxa"/>
            <w:vMerge/>
          </w:tcPr>
          <w:p w14:paraId="14BB953F" w14:textId="77777777" w:rsidR="00DD7215" w:rsidRPr="00534ECE" w:rsidRDefault="00DD7215" w:rsidP="008F77AC">
            <w:pPr>
              <w:pStyle w:val="Text"/>
              <w:spacing w:after="120"/>
              <w:rPr>
                <w:rFonts w:cs="Arial"/>
                <w:bCs w:val="0"/>
                <w:sz w:val="16"/>
              </w:rPr>
            </w:pPr>
          </w:p>
        </w:tc>
        <w:tc>
          <w:tcPr>
            <w:cnfStyle w:val="000010000000" w:firstRow="0" w:lastRow="0" w:firstColumn="0" w:lastColumn="0" w:oddVBand="1" w:evenVBand="0" w:oddHBand="0" w:evenHBand="0" w:firstRowFirstColumn="0" w:firstRowLastColumn="0" w:lastRowFirstColumn="0" w:lastRowLastColumn="0"/>
            <w:tcW w:w="3402" w:type="dxa"/>
          </w:tcPr>
          <w:p w14:paraId="7B5944C2" w14:textId="77777777" w:rsidR="00DD7215" w:rsidRPr="00534ECE" w:rsidRDefault="00DD7215" w:rsidP="008F77AC">
            <w:pPr>
              <w:pStyle w:val="Text"/>
              <w:tabs>
                <w:tab w:val="clear" w:pos="1713"/>
              </w:tabs>
              <w:spacing w:after="120"/>
              <w:rPr>
                <w:rFonts w:cs="Arial"/>
                <w:b w:val="0"/>
                <w:sz w:val="16"/>
                <w:szCs w:val="16"/>
              </w:rPr>
            </w:pPr>
            <w:r w:rsidRPr="00534ECE">
              <w:rPr>
                <w:rFonts w:cs="Arial"/>
                <w:sz w:val="16"/>
                <w:szCs w:val="16"/>
              </w:rPr>
              <w:t>Independent Auditor’s Report</w:t>
            </w:r>
          </w:p>
        </w:tc>
        <w:tc>
          <w:tcPr>
            <w:tcW w:w="2552" w:type="dxa"/>
          </w:tcPr>
          <w:p w14:paraId="2AAFD37E" w14:textId="77777777" w:rsidR="00DD7215" w:rsidRPr="00881510" w:rsidRDefault="00DD7215" w:rsidP="008F77AC">
            <w:pPr>
              <w:pStyle w:val="Text"/>
              <w:spacing w:after="120"/>
              <w:cnfStyle w:val="010000000000" w:firstRow="0" w:lastRow="1" w:firstColumn="0" w:lastColumn="0" w:oddVBand="0" w:evenVBand="0" w:oddHBand="0" w:evenHBand="0" w:firstRowFirstColumn="0" w:firstRowLastColumn="0" w:lastRowFirstColumn="0" w:lastRowLastColumn="0"/>
              <w:rPr>
                <w:rFonts w:cs="Arial"/>
                <w:b w:val="0"/>
                <w:bCs w:val="0"/>
                <w:sz w:val="16"/>
                <w:szCs w:val="16"/>
              </w:rPr>
            </w:pPr>
            <w:r w:rsidRPr="00881510">
              <w:rPr>
                <w:rFonts w:cs="Arial"/>
                <w:b w:val="0"/>
                <w:bCs w:val="0"/>
                <w:sz w:val="16"/>
                <w:szCs w:val="16"/>
              </w:rPr>
              <w:t>FAA – section 62</w:t>
            </w:r>
          </w:p>
          <w:p w14:paraId="36515CEB" w14:textId="77777777" w:rsidR="00DD7215" w:rsidRPr="00881510" w:rsidRDefault="00DD7215" w:rsidP="008F77AC">
            <w:pPr>
              <w:pStyle w:val="Text"/>
              <w:spacing w:after="120"/>
              <w:cnfStyle w:val="010000000000" w:firstRow="0" w:lastRow="1" w:firstColumn="0" w:lastColumn="0" w:oddVBand="0" w:evenVBand="0" w:oddHBand="0" w:evenHBand="0" w:firstRowFirstColumn="0" w:firstRowLastColumn="0" w:lastRowFirstColumn="0" w:lastRowLastColumn="0"/>
              <w:rPr>
                <w:rFonts w:cs="Arial"/>
                <w:b w:val="0"/>
                <w:bCs w:val="0"/>
                <w:sz w:val="16"/>
                <w:szCs w:val="16"/>
              </w:rPr>
            </w:pPr>
            <w:r w:rsidRPr="00881510">
              <w:rPr>
                <w:rFonts w:cs="Arial"/>
                <w:b w:val="0"/>
                <w:bCs w:val="0"/>
                <w:sz w:val="16"/>
                <w:szCs w:val="16"/>
              </w:rPr>
              <w:t>FPMS – section 46</w:t>
            </w:r>
          </w:p>
          <w:p w14:paraId="6A667C89" w14:textId="77777777" w:rsidR="00DD7215" w:rsidRPr="00881510" w:rsidRDefault="00DD7215" w:rsidP="008F77AC">
            <w:pPr>
              <w:pStyle w:val="Text"/>
              <w:spacing w:after="120"/>
              <w:cnfStyle w:val="010000000000" w:firstRow="0" w:lastRow="1" w:firstColumn="0" w:lastColumn="0" w:oddVBand="0" w:evenVBand="0" w:oddHBand="0" w:evenHBand="0" w:firstRowFirstColumn="0" w:firstRowLastColumn="0" w:lastRowFirstColumn="0" w:lastRowLastColumn="0"/>
              <w:rPr>
                <w:rFonts w:cs="Arial"/>
                <w:b w:val="0"/>
                <w:bCs w:val="0"/>
                <w:sz w:val="16"/>
                <w:szCs w:val="16"/>
              </w:rPr>
            </w:pPr>
            <w:r w:rsidRPr="00881510">
              <w:rPr>
                <w:rFonts w:cs="Arial"/>
                <w:b w:val="0"/>
                <w:bCs w:val="0"/>
                <w:sz w:val="16"/>
                <w:szCs w:val="16"/>
              </w:rPr>
              <w:t>ARRs – section 17.2</w:t>
            </w:r>
          </w:p>
        </w:tc>
        <w:tc>
          <w:tcPr>
            <w:cnfStyle w:val="000100000010" w:firstRow="0" w:lastRow="0" w:firstColumn="0" w:lastColumn="1" w:oddVBand="0" w:evenVBand="0" w:oddHBand="0" w:evenHBand="0" w:firstRowFirstColumn="0" w:firstRowLastColumn="0" w:lastRowFirstColumn="0" w:lastRowLastColumn="1"/>
            <w:tcW w:w="1836" w:type="dxa"/>
            <w:shd w:val="clear" w:color="auto" w:fill="auto"/>
            <w:vAlign w:val="center"/>
          </w:tcPr>
          <w:p w14:paraId="78C47373" w14:textId="5535022D" w:rsidR="00DD7215" w:rsidRPr="00584A1C" w:rsidRDefault="00DA38E2" w:rsidP="00584A1C">
            <w:pPr>
              <w:rPr>
                <w:sz w:val="16"/>
                <w:szCs w:val="16"/>
              </w:rPr>
            </w:pPr>
            <w:r>
              <w:rPr>
                <w:sz w:val="16"/>
                <w:szCs w:val="16"/>
              </w:rPr>
              <w:t>41</w:t>
            </w:r>
          </w:p>
        </w:tc>
      </w:tr>
    </w:tbl>
    <w:p w14:paraId="2F317971" w14:textId="2AB0DF8E" w:rsidR="00592D6E" w:rsidRPr="00534ECE" w:rsidRDefault="00592D6E" w:rsidP="29D83A1A">
      <w:pPr>
        <w:pStyle w:val="Text"/>
        <w:tabs>
          <w:tab w:val="clear" w:pos="1713"/>
          <w:tab w:val="num" w:pos="709"/>
        </w:tabs>
        <w:rPr>
          <w:rFonts w:cs="Arial"/>
          <w:i/>
          <w:iCs/>
          <w:sz w:val="16"/>
          <w:szCs w:val="16"/>
        </w:rPr>
      </w:pPr>
      <w:r w:rsidRPr="29D83A1A">
        <w:rPr>
          <w:rFonts w:cs="Arial"/>
          <w:sz w:val="16"/>
          <w:szCs w:val="16"/>
        </w:rPr>
        <w:t>FAA</w:t>
      </w:r>
      <w:r w:rsidR="2FAEF827" w:rsidRPr="29D83A1A">
        <w:rPr>
          <w:rFonts w:cs="Arial"/>
          <w:sz w:val="16"/>
          <w:szCs w:val="16"/>
        </w:rPr>
        <w:t xml:space="preserve"> </w:t>
      </w:r>
      <w:r>
        <w:tab/>
      </w:r>
      <w:r w:rsidRPr="29D83A1A">
        <w:rPr>
          <w:rFonts w:cs="Arial"/>
          <w:i/>
          <w:iCs/>
          <w:sz w:val="16"/>
          <w:szCs w:val="16"/>
        </w:rPr>
        <w:t xml:space="preserve">Financial Accountability Act 2009 </w:t>
      </w:r>
    </w:p>
    <w:p w14:paraId="180CB739" w14:textId="1755405F" w:rsidR="00592D6E" w:rsidRPr="00534ECE" w:rsidRDefault="00592D6E" w:rsidP="29D83A1A">
      <w:pPr>
        <w:pStyle w:val="Text"/>
        <w:tabs>
          <w:tab w:val="clear" w:pos="1713"/>
          <w:tab w:val="num" w:pos="709"/>
        </w:tabs>
        <w:rPr>
          <w:rFonts w:cs="Arial"/>
          <w:i/>
          <w:iCs/>
          <w:sz w:val="16"/>
          <w:szCs w:val="16"/>
        </w:rPr>
      </w:pPr>
      <w:r w:rsidRPr="29D83A1A">
        <w:rPr>
          <w:rFonts w:cs="Arial"/>
          <w:sz w:val="16"/>
          <w:szCs w:val="16"/>
        </w:rPr>
        <w:t>FPMS</w:t>
      </w:r>
      <w:r>
        <w:tab/>
      </w:r>
      <w:r w:rsidR="24E61668" w:rsidRPr="29D83A1A">
        <w:rPr>
          <w:rFonts w:cs="Arial"/>
          <w:sz w:val="16"/>
          <w:szCs w:val="16"/>
        </w:rPr>
        <w:t xml:space="preserve"> </w:t>
      </w:r>
      <w:r w:rsidRPr="29D83A1A">
        <w:rPr>
          <w:rFonts w:cs="Arial"/>
          <w:sz w:val="16"/>
          <w:szCs w:val="16"/>
        </w:rPr>
        <w:t>Financial and Performance Management Standard 2019</w:t>
      </w:r>
    </w:p>
    <w:p w14:paraId="70914FF5" w14:textId="254FC88B" w:rsidR="00FF566F" w:rsidRPr="00852B34" w:rsidRDefault="00592D6E" w:rsidP="00852B34">
      <w:pPr>
        <w:pStyle w:val="Text"/>
        <w:tabs>
          <w:tab w:val="clear" w:pos="1713"/>
          <w:tab w:val="num" w:pos="709"/>
        </w:tabs>
        <w:rPr>
          <w:rFonts w:cs="Arial"/>
          <w:sz w:val="16"/>
          <w:szCs w:val="16"/>
        </w:rPr>
      </w:pPr>
      <w:r w:rsidRPr="29D83A1A">
        <w:rPr>
          <w:rFonts w:cs="Arial"/>
          <w:sz w:val="16"/>
          <w:szCs w:val="16"/>
        </w:rPr>
        <w:t>ARRs</w:t>
      </w:r>
      <w:r w:rsidR="75446390" w:rsidRPr="29D83A1A">
        <w:rPr>
          <w:rFonts w:cs="Arial"/>
          <w:sz w:val="16"/>
          <w:szCs w:val="16"/>
        </w:rPr>
        <w:t xml:space="preserve"> </w:t>
      </w:r>
      <w:r>
        <w:tab/>
      </w:r>
      <w:r w:rsidRPr="29D83A1A">
        <w:rPr>
          <w:rFonts w:cs="Arial"/>
          <w:i/>
          <w:iCs/>
          <w:sz w:val="16"/>
          <w:szCs w:val="16"/>
        </w:rPr>
        <w:t>Annual report requirements for Queensland Government agencies</w:t>
      </w:r>
    </w:p>
    <w:p w14:paraId="626B165D" w14:textId="77777777" w:rsidR="00592D6E" w:rsidRDefault="00592D6E" w:rsidP="00230EE3">
      <w:pPr>
        <w:pStyle w:val="Text"/>
        <w:spacing w:before="100" w:after="100"/>
        <w:rPr>
          <w:rFonts w:cs="Arial"/>
          <w:bCs/>
          <w:sz w:val="16"/>
        </w:rPr>
      </w:pPr>
    </w:p>
    <w:p w14:paraId="7310ED37" w14:textId="11B55022" w:rsidR="00DD7215" w:rsidRDefault="00DD7215" w:rsidP="00230EE3">
      <w:pPr>
        <w:pStyle w:val="Text"/>
        <w:spacing w:before="100" w:after="100"/>
        <w:rPr>
          <w:rFonts w:cs="Arial"/>
          <w:bCs/>
          <w:sz w:val="16"/>
        </w:rPr>
        <w:sectPr w:rsidR="00DD7215" w:rsidSect="00567E2F">
          <w:headerReference w:type="default" r:id="rId68"/>
          <w:footerReference w:type="default" r:id="rId69"/>
          <w:pgSz w:w="11906" w:h="16838"/>
          <w:pgMar w:top="1440" w:right="1134" w:bottom="425" w:left="1134" w:header="708" w:footer="369" w:gutter="0"/>
          <w:pgNumType w:start="1"/>
          <w:cols w:space="567"/>
          <w:docGrid w:linePitch="360"/>
        </w:sectPr>
      </w:pPr>
    </w:p>
    <w:bookmarkEnd w:id="49"/>
    <w:bookmarkEnd w:id="50"/>
    <w:p w14:paraId="5883BF6E" w14:textId="77777777" w:rsidR="00403DCF" w:rsidRPr="00673FDF" w:rsidRDefault="00403DCF" w:rsidP="00E4677F">
      <w:pPr>
        <w:pStyle w:val="PSC-BodyReversed"/>
        <w:rPr>
          <w:b/>
        </w:rPr>
      </w:pPr>
    </w:p>
    <w:sectPr w:rsidR="00403DCF" w:rsidRPr="00673FDF" w:rsidSect="00444E06">
      <w:footerReference w:type="default" r:id="rId70"/>
      <w:pgSz w:w="11906" w:h="16838"/>
      <w:pgMar w:top="1440"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9BB2" w14:textId="77777777" w:rsidR="00406556" w:rsidRDefault="00406556" w:rsidP="005744C6">
      <w:pPr>
        <w:spacing w:after="0" w:line="240" w:lineRule="auto"/>
      </w:pPr>
      <w:r>
        <w:separator/>
      </w:r>
    </w:p>
  </w:endnote>
  <w:endnote w:type="continuationSeparator" w:id="0">
    <w:p w14:paraId="2B70E4D2" w14:textId="77777777" w:rsidR="00406556" w:rsidRDefault="00406556" w:rsidP="005744C6">
      <w:pPr>
        <w:spacing w:after="0" w:line="240" w:lineRule="auto"/>
      </w:pPr>
      <w:r>
        <w:continuationSeparator/>
      </w:r>
    </w:p>
  </w:endnote>
  <w:endnote w:type="continuationNotice" w:id="1">
    <w:p w14:paraId="1CC4C361" w14:textId="77777777" w:rsidR="00406556" w:rsidRDefault="00406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etaPro-Norm">
    <w:panose1 w:val="00000000000000000000"/>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default"/>
  </w:font>
  <w:font w:name="Arial Narrow">
    <w:panose1 w:val="020B0606020202030204"/>
    <w:charset w:val="00"/>
    <w:family w:val="swiss"/>
    <w:pitch w:val="variable"/>
    <w:sig w:usb0="00000287" w:usb1="000008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C24B" w14:textId="77777777" w:rsidR="005E56BD" w:rsidRDefault="005E56BD" w:rsidP="0010622B">
    <w:pPr>
      <w:pStyle w:val="Footer"/>
      <w:tabs>
        <w:tab w:val="clear" w:pos="4513"/>
        <w:tab w:val="clear" w:pos="9026"/>
        <w:tab w:val="left" w:pos="1988"/>
      </w:tabs>
      <w:spacing w:after="120"/>
      <w:rPr>
        <w:b w:val="0"/>
        <w:bCs/>
        <w:color w:val="auto"/>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8FED" w14:textId="77777777" w:rsidR="00A26B8F" w:rsidRDefault="00A26B8F" w:rsidP="0056138D">
    <w:pPr>
      <w:pStyle w:val="Footer"/>
      <w:tabs>
        <w:tab w:val="clear" w:pos="4513"/>
        <w:tab w:val="clear" w:pos="9026"/>
        <w:tab w:val="left" w:pos="1988"/>
      </w:tabs>
      <w:spacing w:after="120"/>
      <w:rPr>
        <w:b w:val="0"/>
        <w:bCs/>
        <w:color w:val="auto"/>
        <w:szCs w:val="20"/>
      </w:rPr>
    </w:pPr>
  </w:p>
  <w:p w14:paraId="3096AD62" w14:textId="13B46072" w:rsidR="00591627" w:rsidRPr="00382170" w:rsidRDefault="001B5168" w:rsidP="00382170">
    <w:pPr>
      <w:pStyle w:val="Footer"/>
      <w:tabs>
        <w:tab w:val="clear" w:pos="4513"/>
        <w:tab w:val="clear" w:pos="9026"/>
        <w:tab w:val="left" w:pos="1988"/>
      </w:tabs>
      <w:spacing w:after="120"/>
      <w:rPr>
        <w:b w:val="0"/>
        <w:bCs/>
      </w:rPr>
    </w:pPr>
    <w:r>
      <w:rPr>
        <w:noProof/>
      </w:rPr>
      <w:drawing>
        <wp:anchor distT="0" distB="0" distL="114300" distR="114300" simplePos="0" relativeHeight="251658240" behindDoc="1" locked="1" layoutInCell="1" allowOverlap="1" wp14:anchorId="3A5B564F" wp14:editId="5D0AE9AB">
          <wp:simplePos x="0" y="0"/>
          <wp:positionH relativeFrom="page">
            <wp:posOffset>0</wp:posOffset>
          </wp:positionH>
          <wp:positionV relativeFrom="page">
            <wp:posOffset>9987280</wp:posOffset>
          </wp:positionV>
          <wp:extent cx="701675" cy="701675"/>
          <wp:effectExtent l="0" t="0" r="3175" b="3175"/>
          <wp:wrapNone/>
          <wp:docPr id="1266536289" name="Picture 1266536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56138D" w:rsidRPr="00896B17">
      <w:rPr>
        <w:b w:val="0"/>
        <w:bCs/>
        <w:color w:val="auto"/>
        <w:szCs w:val="20"/>
      </w:rPr>
      <w:fldChar w:fldCharType="begin"/>
    </w:r>
    <w:r w:rsidR="0056138D" w:rsidRPr="00896B17">
      <w:rPr>
        <w:b w:val="0"/>
        <w:bCs/>
        <w:color w:val="auto"/>
        <w:szCs w:val="20"/>
      </w:rPr>
      <w:instrText xml:space="preserve">PAGE </w:instrText>
    </w:r>
    <w:r w:rsidR="0056138D" w:rsidRPr="00896B17">
      <w:rPr>
        <w:b w:val="0"/>
        <w:bCs/>
        <w:color w:val="auto"/>
        <w:szCs w:val="20"/>
      </w:rPr>
      <w:fldChar w:fldCharType="separate"/>
    </w:r>
    <w:r w:rsidR="0056138D" w:rsidRPr="00896B17">
      <w:rPr>
        <w:b w:val="0"/>
        <w:bCs/>
        <w:szCs w:val="20"/>
      </w:rPr>
      <w:t>45</w:t>
    </w:r>
    <w:r w:rsidR="0056138D" w:rsidRPr="00896B17">
      <w:rPr>
        <w:b w:val="0"/>
        <w:bCs/>
        <w:color w:val="auto"/>
        <w:szCs w:val="20"/>
      </w:rPr>
      <w:fldChar w:fldCharType="end"/>
    </w:r>
    <w:r w:rsidR="0056138D" w:rsidRPr="00896B17">
      <w:rPr>
        <w:b w:val="0"/>
        <w:bCs/>
        <w:color w:val="auto"/>
        <w:szCs w:val="20"/>
      </w:rPr>
      <w:t xml:space="preserve"> </w:t>
    </w:r>
    <w:r w:rsidR="0056138D" w:rsidRPr="00896B17">
      <w:rPr>
        <w:rStyle w:val="Footer1Char"/>
        <w:b w:val="0"/>
        <w:bCs/>
        <w:noProof w:val="0"/>
        <w:color w:val="auto"/>
        <w:sz w:val="20"/>
        <w:szCs w:val="20"/>
      </w:rPr>
      <w:fldChar w:fldCharType="begin"/>
    </w:r>
    <w:r w:rsidR="0056138D" w:rsidRPr="00896B17">
      <w:rPr>
        <w:rStyle w:val="Footer1Char"/>
        <w:b w:val="0"/>
        <w:bCs/>
        <w:noProof w:val="0"/>
        <w:color w:val="auto"/>
        <w:sz w:val="20"/>
        <w:szCs w:val="20"/>
      </w:rPr>
      <w:instrText xml:space="preserve"> QUOTE  "|"  </w:instrText>
    </w:r>
    <w:r w:rsidR="0056138D" w:rsidRPr="00896B17">
      <w:rPr>
        <w:rStyle w:val="Footer1Char"/>
        <w:b w:val="0"/>
        <w:bCs/>
        <w:noProof w:val="0"/>
        <w:color w:val="auto"/>
        <w:sz w:val="20"/>
        <w:szCs w:val="20"/>
      </w:rPr>
      <w:fldChar w:fldCharType="separate"/>
    </w:r>
    <w:r w:rsidR="00DB223A" w:rsidRPr="00896B17">
      <w:rPr>
        <w:rStyle w:val="Footer1Char"/>
        <w:b w:val="0"/>
        <w:bCs/>
        <w:noProof w:val="0"/>
        <w:color w:val="auto"/>
        <w:sz w:val="20"/>
        <w:szCs w:val="20"/>
      </w:rPr>
      <w:t>|</w:t>
    </w:r>
    <w:r w:rsidR="0056138D" w:rsidRPr="00896B17">
      <w:rPr>
        <w:rStyle w:val="Footer1Char"/>
        <w:b w:val="0"/>
        <w:bCs/>
        <w:noProof w:val="0"/>
        <w:color w:val="auto"/>
        <w:sz w:val="20"/>
        <w:szCs w:val="20"/>
      </w:rPr>
      <w:fldChar w:fldCharType="end"/>
    </w:r>
    <w:r w:rsidR="0056138D" w:rsidRPr="00896B17">
      <w:rPr>
        <w:rStyle w:val="Footer1Char"/>
        <w:b w:val="0"/>
        <w:bCs/>
        <w:noProof w:val="0"/>
        <w:color w:val="auto"/>
        <w:sz w:val="20"/>
        <w:szCs w:val="20"/>
      </w:rPr>
      <w:t xml:space="preserve"> </w:t>
    </w:r>
    <w:r w:rsidR="0056138D" w:rsidRPr="00896B17">
      <w:rPr>
        <w:rStyle w:val="Footer1Char"/>
        <w:b w:val="0"/>
        <w:bCs/>
        <w:noProof w:val="0"/>
        <w:color w:val="auto"/>
        <w:sz w:val="20"/>
        <w:szCs w:val="20"/>
      </w:rPr>
      <w:fldChar w:fldCharType="begin"/>
    </w:r>
    <w:r w:rsidR="0056138D" w:rsidRPr="00896B17">
      <w:rPr>
        <w:rStyle w:val="Footer1Char"/>
        <w:b w:val="0"/>
        <w:bCs/>
        <w:noProof w:val="0"/>
        <w:color w:val="auto"/>
        <w:sz w:val="20"/>
        <w:szCs w:val="20"/>
      </w:rPr>
      <w:instrText xml:space="preserve"> SUBJECT  \* FirstCap</w:instrText>
    </w:r>
    <w:r w:rsidR="0056138D" w:rsidRPr="00896B17">
      <w:rPr>
        <w:rStyle w:val="Footer1Char"/>
        <w:b w:val="0"/>
        <w:bCs/>
        <w:noProof w:val="0"/>
        <w:color w:val="auto"/>
        <w:sz w:val="20"/>
        <w:szCs w:val="20"/>
      </w:rPr>
      <w:fldChar w:fldCharType="separate"/>
    </w:r>
    <w:r w:rsidR="00DB223A">
      <w:rPr>
        <w:rStyle w:val="Footer1Char"/>
        <w:b w:val="0"/>
        <w:bCs/>
        <w:noProof w:val="0"/>
        <w:color w:val="auto"/>
        <w:sz w:val="20"/>
        <w:szCs w:val="20"/>
      </w:rPr>
      <w:t>Annual report</w:t>
    </w:r>
    <w:r w:rsidR="0056138D" w:rsidRPr="00896B17">
      <w:rPr>
        <w:rStyle w:val="Footer1Char"/>
        <w:b w:val="0"/>
        <w:bCs/>
        <w:noProof w:val="0"/>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B8B" w14:textId="6AFCD958" w:rsidR="008A4C15" w:rsidRPr="00F2524A" w:rsidRDefault="00A765C6" w:rsidP="00F2524A">
    <w:pPr>
      <w:pStyle w:val="Footer"/>
    </w:pPr>
    <w:r w:rsidRPr="000364C1">
      <w:rPr>
        <w:noProof/>
        <w:szCs w:val="20"/>
      </w:rPr>
      <mc:AlternateContent>
        <mc:Choice Requires="wps">
          <w:drawing>
            <wp:anchor distT="0" distB="0" distL="114300" distR="114300" simplePos="0" relativeHeight="251658241" behindDoc="0" locked="0" layoutInCell="1" allowOverlap="1" wp14:anchorId="012B0001" wp14:editId="0DB07335">
              <wp:simplePos x="0" y="0"/>
              <wp:positionH relativeFrom="margin">
                <wp:posOffset>-256540</wp:posOffset>
              </wp:positionH>
              <wp:positionV relativeFrom="paragraph">
                <wp:posOffset>-374015</wp:posOffset>
              </wp:positionV>
              <wp:extent cx="6616700" cy="570368"/>
              <wp:effectExtent l="0" t="0" r="12700" b="1270"/>
              <wp:wrapNone/>
              <wp:docPr id="1885270251" name="Text Box 1885270251"/>
              <wp:cNvGraphicFramePr/>
              <a:graphic xmlns:a="http://schemas.openxmlformats.org/drawingml/2006/main">
                <a:graphicData uri="http://schemas.microsoft.com/office/word/2010/wordprocessingShape">
                  <wps:wsp>
                    <wps:cNvSpPr txBox="1"/>
                    <wps:spPr>
                      <a:xfrm>
                        <a:off x="0" y="0"/>
                        <a:ext cx="6616700" cy="570368"/>
                      </a:xfrm>
                      <a:prstGeom prst="rect">
                        <a:avLst/>
                      </a:prstGeom>
                      <a:noFill/>
                      <a:ln w="6350">
                        <a:noFill/>
                      </a:ln>
                    </wps:spPr>
                    <wps:txbx>
                      <w:txbxContent>
                        <w:p w14:paraId="5A37D730" w14:textId="77777777" w:rsidR="00A765C6" w:rsidRPr="002A29A8" w:rsidRDefault="00A765C6" w:rsidP="00A765C6">
                          <w:pPr>
                            <w:pStyle w:val="BasicParagraph"/>
                            <w:tabs>
                              <w:tab w:val="right" w:pos="0"/>
                            </w:tabs>
                            <w:suppressAutoHyphens/>
                            <w:rPr>
                              <w:rFonts w:ascii="Arial" w:hAnsi="Arial" w:cs="Arial"/>
                              <w:sz w:val="22"/>
                              <w:szCs w:val="22"/>
                              <w:lang w:val="en-GB"/>
                            </w:rPr>
                          </w:pPr>
                          <w:r w:rsidRPr="002A29A8">
                            <w:rPr>
                              <w:rFonts w:ascii="Arial" w:hAnsi="Arial" w:cs="Arial"/>
                              <w:caps/>
                              <w:sz w:val="22"/>
                              <w:szCs w:val="22"/>
                              <w:lang w:val="en-GB"/>
                            </w:rPr>
                            <w:t xml:space="preserve">Annual Report </w:t>
                          </w:r>
                          <w:r w:rsidRPr="002A29A8">
                            <w:rPr>
                              <w:rFonts w:ascii="Arial" w:hAnsi="Arial" w:cs="Arial"/>
                              <w:caps/>
                              <w:spacing w:val="-2"/>
                              <w:sz w:val="22"/>
                              <w:szCs w:val="22"/>
                              <w:lang w:val="en-GB"/>
                            </w:rPr>
                            <w:t>202</w:t>
                          </w:r>
                          <w:r>
                            <w:rPr>
                              <w:rFonts w:ascii="Arial" w:hAnsi="Arial" w:cs="Arial"/>
                              <w:caps/>
                              <w:spacing w:val="-2"/>
                              <w:sz w:val="22"/>
                              <w:szCs w:val="22"/>
                              <w:lang w:val="en-GB"/>
                            </w:rPr>
                            <w:t>2</w:t>
                          </w:r>
                          <w:r w:rsidRPr="002A29A8">
                            <w:rPr>
                              <w:rFonts w:ascii="Arial" w:hAnsi="Arial" w:cs="Arial"/>
                              <w:caps/>
                              <w:spacing w:val="-2"/>
                              <w:sz w:val="22"/>
                              <w:szCs w:val="22"/>
                              <w:lang w:val="en-GB"/>
                            </w:rPr>
                            <w:t>–202</w:t>
                          </w:r>
                          <w:r>
                            <w:rPr>
                              <w:rFonts w:ascii="Arial" w:hAnsi="Arial" w:cs="Arial"/>
                              <w:caps/>
                              <w:spacing w:val="-2"/>
                              <w:sz w:val="22"/>
                              <w:szCs w:val="22"/>
                              <w:lang w:val="en-GB"/>
                            </w:rPr>
                            <w:t>3</w:t>
                          </w:r>
                        </w:p>
                        <w:p w14:paraId="2B4736EA" w14:textId="77777777" w:rsidR="00A765C6" w:rsidRPr="002A29A8" w:rsidRDefault="00A765C6" w:rsidP="00A765C6">
                          <w:pPr>
                            <w:pStyle w:val="BasicParagraph"/>
                            <w:tabs>
                              <w:tab w:val="right" w:pos="0"/>
                            </w:tabs>
                            <w:suppressAutoHyphens/>
                            <w:rPr>
                              <w:rFonts w:ascii="Arial" w:hAnsi="Arial" w:cs="Arial"/>
                              <w:b/>
                              <w:bCs/>
                              <w:sz w:val="22"/>
                              <w:szCs w:val="22"/>
                              <w:lang w:val="en-GB"/>
                            </w:rPr>
                          </w:pPr>
                          <w:r>
                            <w:rPr>
                              <w:rFonts w:ascii="Arial" w:hAnsi="Arial" w:cs="Arial"/>
                              <w:b/>
                              <w:bCs/>
                              <w:sz w:val="22"/>
                              <w:szCs w:val="22"/>
                              <w:lang w:val="en-GB"/>
                            </w:rPr>
                            <w:t>Public Sector Commission</w:t>
                          </w:r>
                        </w:p>
                        <w:p w14:paraId="661266C1" w14:textId="16729B62" w:rsidR="00A765C6" w:rsidRPr="00CE2625" w:rsidRDefault="003B4964" w:rsidP="00A765C6">
                          <w:pPr>
                            <w:pStyle w:val="BasicParagraph"/>
                            <w:rPr>
                              <w:rFonts w:ascii="Arial" w:hAnsi="Arial" w:cs="Arial"/>
                              <w:b/>
                              <w:bCs/>
                              <w:color w:val="000000" w:themeColor="text1"/>
                              <w:sz w:val="30"/>
                              <w:szCs w:val="30"/>
                              <w14:textOutline w14:w="9525" w14:cap="flat" w14:cmpd="sng" w14:algn="ctr">
                                <w14:noFill/>
                                <w14:prstDash w14:val="solid"/>
                                <w14:round/>
                              </w14:textOutline>
                            </w:rPr>
                          </w:pPr>
                          <w:hyperlink r:id="rId1" w:history="1">
                            <w:r w:rsidR="00A765C6" w:rsidRPr="00CE2625">
                              <w:rPr>
                                <w:rStyle w:val="Hyperlink"/>
                                <w:rFonts w:ascii="Arial" w:hAnsi="Arial" w:cs="Arial"/>
                                <w:b w:val="0"/>
                                <w:bCs/>
                                <w:sz w:val="22"/>
                                <w:szCs w:val="22"/>
                                <w:lang w:val="en-GB"/>
                              </w:rPr>
                              <w:t>www.psc.qld.gov.au</w:t>
                            </w:r>
                          </w:hyperlink>
                          <w:r w:rsidR="00CE2625">
                            <w:rPr>
                              <w:rStyle w:val="Hyperlink"/>
                              <w:rFonts w:ascii="Arial" w:hAnsi="Arial" w:cs="Arial"/>
                              <w:b w:val="0"/>
                              <w:bCs/>
                              <w:sz w:val="22"/>
                              <w:szCs w:val="22"/>
                              <w:lang w:val="en-GB"/>
                            </w:rPr>
                            <w:t xml:space="preserve"> </w:t>
                          </w:r>
                          <w:r w:rsidR="00A765C6" w:rsidRPr="00CE2625">
                            <w:rPr>
                              <w:rFonts w:ascii="Arial" w:hAnsi="Arial" w:cs="Arial"/>
                              <w:b/>
                              <w:bCs/>
                              <w:sz w:val="22"/>
                              <w:szCs w:val="22"/>
                              <w:lang w:val="en-GB"/>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012B0001" id="_x0000_t202" coordsize="21600,21600" o:spt="202" path="m,l,21600r21600,l21600,xe">
              <v:stroke joinstyle="miter"/>
              <v:path gradientshapeok="t" o:connecttype="rect"/>
            </v:shapetype>
            <v:shape id="Text Box 1885270251" o:spid="_x0000_s1034" type="#_x0000_t202" style="position:absolute;margin-left:-20.2pt;margin-top:-29.45pt;width:521pt;height:44.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" filled="f" stroked="f" strokeweight=".5pt">
              <v:textbox inset="0,0,0,0">
                <w:txbxContent>
                  <w:p w14:paraId="5A37D730" w14:textId="77777777" w:rsidR="00A765C6" w:rsidRPr="002A29A8" w:rsidRDefault="00A765C6" w:rsidP="00A765C6">
                    <w:pPr>
                      <w:pStyle w:val="BasicParagraph"/>
                      <w:tabs>
                        <w:tab w:val="right" w:pos="0"/>
                      </w:tabs>
                      <w:suppressAutoHyphens/>
                      <w:rPr>
                        <w:rFonts w:ascii="Arial" w:hAnsi="Arial" w:cs="Arial"/>
                        <w:sz w:val="22"/>
                        <w:szCs w:val="22"/>
                        <w:lang w:val="en-GB"/>
                      </w:rPr>
                    </w:pPr>
                    <w:r w:rsidRPr="002A29A8">
                      <w:rPr>
                        <w:rFonts w:ascii="Arial" w:hAnsi="Arial" w:cs="Arial"/>
                        <w:caps/>
                        <w:sz w:val="22"/>
                        <w:szCs w:val="22"/>
                        <w:lang w:val="en-GB"/>
                      </w:rPr>
                      <w:t xml:space="preserve">Annual Report </w:t>
                    </w:r>
                    <w:r w:rsidRPr="002A29A8">
                      <w:rPr>
                        <w:rFonts w:ascii="Arial" w:hAnsi="Arial" w:cs="Arial"/>
                        <w:caps/>
                        <w:spacing w:val="-2"/>
                        <w:sz w:val="22"/>
                        <w:szCs w:val="22"/>
                        <w:lang w:val="en-GB"/>
                      </w:rPr>
                      <w:t>202</w:t>
                    </w:r>
                    <w:r>
                      <w:rPr>
                        <w:rFonts w:ascii="Arial" w:hAnsi="Arial" w:cs="Arial"/>
                        <w:caps/>
                        <w:spacing w:val="-2"/>
                        <w:sz w:val="22"/>
                        <w:szCs w:val="22"/>
                        <w:lang w:val="en-GB"/>
                      </w:rPr>
                      <w:t>2</w:t>
                    </w:r>
                    <w:r w:rsidRPr="002A29A8">
                      <w:rPr>
                        <w:rFonts w:ascii="Arial" w:hAnsi="Arial" w:cs="Arial"/>
                        <w:caps/>
                        <w:spacing w:val="-2"/>
                        <w:sz w:val="22"/>
                        <w:szCs w:val="22"/>
                        <w:lang w:val="en-GB"/>
                      </w:rPr>
                      <w:t>–202</w:t>
                    </w:r>
                    <w:r>
                      <w:rPr>
                        <w:rFonts w:ascii="Arial" w:hAnsi="Arial" w:cs="Arial"/>
                        <w:caps/>
                        <w:spacing w:val="-2"/>
                        <w:sz w:val="22"/>
                        <w:szCs w:val="22"/>
                        <w:lang w:val="en-GB"/>
                      </w:rPr>
                      <w:t>3</w:t>
                    </w:r>
                  </w:p>
                  <w:p w14:paraId="2B4736EA" w14:textId="77777777" w:rsidR="00A765C6" w:rsidRPr="002A29A8" w:rsidRDefault="00A765C6" w:rsidP="00A765C6">
                    <w:pPr>
                      <w:pStyle w:val="BasicParagraph"/>
                      <w:tabs>
                        <w:tab w:val="right" w:pos="0"/>
                      </w:tabs>
                      <w:suppressAutoHyphens/>
                      <w:rPr>
                        <w:rFonts w:ascii="Arial" w:hAnsi="Arial" w:cs="Arial"/>
                        <w:b/>
                        <w:bCs/>
                        <w:sz w:val="22"/>
                        <w:szCs w:val="22"/>
                        <w:lang w:val="en-GB"/>
                      </w:rPr>
                    </w:pPr>
                    <w:r>
                      <w:rPr>
                        <w:rFonts w:ascii="Arial" w:hAnsi="Arial" w:cs="Arial"/>
                        <w:b/>
                        <w:bCs/>
                        <w:sz w:val="22"/>
                        <w:szCs w:val="22"/>
                        <w:lang w:val="en-GB"/>
                      </w:rPr>
                      <w:t>Public Sector Commission</w:t>
                    </w:r>
                  </w:p>
                  <w:p w14:paraId="661266C1" w14:textId="16729B62" w:rsidR="00A765C6" w:rsidRPr="00CE2625" w:rsidRDefault="00000000" w:rsidP="00A765C6">
                    <w:pPr>
                      <w:pStyle w:val="BasicParagraph"/>
                      <w:rPr>
                        <w:rFonts w:ascii="Arial" w:hAnsi="Arial" w:cs="Arial"/>
                        <w:b/>
                        <w:bCs/>
                        <w:color w:val="000000" w:themeColor="text1"/>
                        <w:sz w:val="30"/>
                        <w:szCs w:val="30"/>
                        <w14:textOutline w14:w="9525" w14:cap="flat" w14:cmpd="sng" w14:algn="ctr">
                          <w14:noFill/>
                          <w14:prstDash w14:val="solid"/>
                          <w14:round/>
                        </w14:textOutline>
                      </w:rPr>
                    </w:pPr>
                    <w:hyperlink r:id="rId2" w:history="1">
                      <w:r w:rsidR="00A765C6" w:rsidRPr="00CE2625">
                        <w:rPr>
                          <w:rStyle w:val="Hyperlink"/>
                          <w:rFonts w:ascii="Arial" w:hAnsi="Arial" w:cs="Arial"/>
                          <w:b w:val="0"/>
                          <w:bCs/>
                          <w:sz w:val="22"/>
                          <w:szCs w:val="22"/>
                          <w:lang w:val="en-GB"/>
                        </w:rPr>
                        <w:t>www.psc.qld.gov.au</w:t>
                      </w:r>
                    </w:hyperlink>
                    <w:r w:rsidR="00CE2625">
                      <w:rPr>
                        <w:rStyle w:val="Hyperlink"/>
                        <w:rFonts w:ascii="Arial" w:hAnsi="Arial" w:cs="Arial"/>
                        <w:b w:val="0"/>
                        <w:bCs/>
                        <w:sz w:val="22"/>
                        <w:szCs w:val="22"/>
                        <w:lang w:val="en-GB"/>
                      </w:rPr>
                      <w:t xml:space="preserve"> </w:t>
                    </w:r>
                    <w:r w:rsidR="00A765C6" w:rsidRPr="00CE2625">
                      <w:rPr>
                        <w:rFonts w:ascii="Arial" w:hAnsi="Arial" w:cs="Arial"/>
                        <w:b/>
                        <w:bCs/>
                        <w:sz w:val="22"/>
                        <w:szCs w:val="22"/>
                        <w:lang w:val="en-GB"/>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29A" w14:textId="77777777" w:rsidR="00406556" w:rsidRDefault="00406556" w:rsidP="005744C6">
      <w:pPr>
        <w:spacing w:after="0" w:line="240" w:lineRule="auto"/>
      </w:pPr>
      <w:r>
        <w:separator/>
      </w:r>
    </w:p>
  </w:footnote>
  <w:footnote w:type="continuationSeparator" w:id="0">
    <w:p w14:paraId="5B88C179" w14:textId="77777777" w:rsidR="00406556" w:rsidRDefault="00406556" w:rsidP="005744C6">
      <w:pPr>
        <w:spacing w:after="0" w:line="240" w:lineRule="auto"/>
      </w:pPr>
      <w:r>
        <w:continuationSeparator/>
      </w:r>
    </w:p>
  </w:footnote>
  <w:footnote w:type="continuationNotice" w:id="1">
    <w:p w14:paraId="656DDA8B" w14:textId="77777777" w:rsidR="00406556" w:rsidRDefault="00406556">
      <w:pPr>
        <w:spacing w:after="0" w:line="240" w:lineRule="auto"/>
      </w:pPr>
    </w:p>
  </w:footnote>
  <w:footnote w:id="2">
    <w:p w14:paraId="48EE7D17" w14:textId="0AE981DA" w:rsidR="00AB6ACC" w:rsidRPr="00522980" w:rsidRDefault="00AB6ACC" w:rsidP="00237F2F">
      <w:pPr>
        <w:pStyle w:val="FootnoteText"/>
        <w:ind w:left="130" w:hanging="130"/>
        <w:rPr>
          <w:sz w:val="16"/>
          <w:szCs w:val="16"/>
        </w:rPr>
      </w:pPr>
      <w:r>
        <w:rPr>
          <w:rStyle w:val="FootnoteReference"/>
        </w:rPr>
        <w:footnoteRef/>
      </w:r>
      <w:r>
        <w:t xml:space="preserve"> </w:t>
      </w:r>
      <w:r w:rsidR="00AB19D2" w:rsidRPr="00522980">
        <w:rPr>
          <w:sz w:val="16"/>
          <w:szCs w:val="16"/>
        </w:rPr>
        <w:t>https://s3.treasury.qld.gov.au/files/Budget_2022-23_SDS_Department_of_the_Premier_and_Cabinet.pdf</w:t>
      </w:r>
    </w:p>
  </w:footnote>
  <w:footnote w:id="3">
    <w:p w14:paraId="1CD14098" w14:textId="3E886D4D" w:rsidR="00AB19D2" w:rsidRPr="00522980" w:rsidRDefault="00AB19D2" w:rsidP="00237F2F">
      <w:pPr>
        <w:pStyle w:val="FootnoteText"/>
        <w:ind w:left="130" w:hanging="130"/>
        <w:rPr>
          <w:sz w:val="16"/>
          <w:szCs w:val="16"/>
        </w:rPr>
      </w:pPr>
      <w:r w:rsidRPr="00522980">
        <w:rPr>
          <w:rStyle w:val="FootnoteReference"/>
        </w:rPr>
        <w:footnoteRef/>
      </w:r>
      <w:r w:rsidRPr="00522980">
        <w:rPr>
          <w:sz w:val="16"/>
          <w:szCs w:val="16"/>
        </w:rPr>
        <w:t xml:space="preserve"> </w:t>
      </w:r>
      <w:r w:rsidR="00384E02" w:rsidRPr="00522980">
        <w:rPr>
          <w:sz w:val="16"/>
          <w:szCs w:val="16"/>
        </w:rPr>
        <w:t>http://www.data.qld.gov.au</w:t>
      </w:r>
      <w:r w:rsidR="00DE156E">
        <w:rPr>
          <w:sz w:val="16"/>
          <w:szCs w:val="16"/>
        </w:rPr>
        <w:t>/</w:t>
      </w:r>
    </w:p>
  </w:footnote>
  <w:footnote w:id="4">
    <w:p w14:paraId="252C6757" w14:textId="4FA7432A" w:rsidR="00384E02" w:rsidRPr="00522980" w:rsidRDefault="00384E02" w:rsidP="00237F2F">
      <w:pPr>
        <w:pStyle w:val="FootnoteText"/>
        <w:ind w:left="130" w:hanging="130"/>
        <w:rPr>
          <w:sz w:val="16"/>
          <w:szCs w:val="16"/>
        </w:rPr>
      </w:pPr>
      <w:r w:rsidRPr="00522980">
        <w:rPr>
          <w:rStyle w:val="FootnoteReference"/>
        </w:rPr>
        <w:footnoteRef/>
      </w:r>
      <w:r w:rsidRPr="00522980">
        <w:rPr>
          <w:sz w:val="16"/>
          <w:szCs w:val="16"/>
        </w:rPr>
        <w:t xml:space="preserve"> </w:t>
      </w:r>
      <w:r w:rsidR="00522980" w:rsidRPr="00522980">
        <w:rPr>
          <w:sz w:val="16"/>
          <w:szCs w:val="16"/>
        </w:rPr>
        <w:t>https://creativecommons.org/licenses/by/4.0/</w:t>
      </w:r>
    </w:p>
  </w:footnote>
  <w:footnote w:id="5">
    <w:p w14:paraId="4B002BC1" w14:textId="71D164C4" w:rsidR="00522980" w:rsidRPr="00522980" w:rsidRDefault="00522980" w:rsidP="00237F2F">
      <w:pPr>
        <w:pStyle w:val="FootnoteText"/>
        <w:ind w:left="130" w:hanging="130"/>
        <w:rPr>
          <w:sz w:val="16"/>
          <w:szCs w:val="16"/>
        </w:rPr>
      </w:pPr>
      <w:r w:rsidRPr="00522980">
        <w:rPr>
          <w:rStyle w:val="FootnoteReference"/>
        </w:rPr>
        <w:footnoteRef/>
      </w:r>
      <w:r w:rsidRPr="00522980">
        <w:rPr>
          <w:sz w:val="16"/>
          <w:szCs w:val="16"/>
        </w:rPr>
        <w:t xml:space="preserve"> https://www.qld.gov.au/about/how-government-works/government-structure/public-service-commission</w:t>
      </w:r>
    </w:p>
  </w:footnote>
  <w:footnote w:id="6">
    <w:p w14:paraId="0053F957" w14:textId="1DB73005" w:rsidR="00172864" w:rsidRPr="00284FB4" w:rsidRDefault="00172864">
      <w:pPr>
        <w:pStyle w:val="FootnoteText"/>
        <w:rPr>
          <w:sz w:val="16"/>
          <w:szCs w:val="16"/>
          <w:lang w:val="en-US"/>
        </w:rPr>
      </w:pPr>
      <w:r w:rsidRPr="006960C5">
        <w:rPr>
          <w:rStyle w:val="FootnoteReference"/>
          <w:sz w:val="16"/>
          <w:szCs w:val="16"/>
        </w:rPr>
        <w:footnoteRef/>
      </w:r>
      <w:r w:rsidRPr="006960C5">
        <w:rPr>
          <w:sz w:val="16"/>
          <w:szCs w:val="16"/>
        </w:rPr>
        <w:t xml:space="preserve"> </w:t>
      </w:r>
      <w:r w:rsidRPr="00284FB4">
        <w:rPr>
          <w:sz w:val="16"/>
          <w:szCs w:val="16"/>
        </w:rPr>
        <w:t>psc.qld.gov.au</w:t>
      </w:r>
    </w:p>
  </w:footnote>
  <w:footnote w:id="7">
    <w:p w14:paraId="61A4C891" w14:textId="1C0560E3" w:rsidR="00D1140C" w:rsidRPr="00E13E9D" w:rsidRDefault="00D1140C">
      <w:pPr>
        <w:pStyle w:val="FootnoteText"/>
        <w:rPr>
          <w:sz w:val="16"/>
          <w:szCs w:val="16"/>
          <w:lang w:val="en-US"/>
        </w:rPr>
      </w:pPr>
      <w:r w:rsidRPr="00E13E9D">
        <w:rPr>
          <w:rStyle w:val="FootnoteReference"/>
          <w:sz w:val="16"/>
          <w:szCs w:val="16"/>
        </w:rPr>
        <w:footnoteRef/>
      </w:r>
      <w:r w:rsidRPr="00E13E9D">
        <w:rPr>
          <w:sz w:val="16"/>
          <w:szCs w:val="16"/>
        </w:rPr>
        <w:t xml:space="preserve"> </w:t>
      </w:r>
      <w:r w:rsidRPr="0026461A">
        <w:rPr>
          <w:sz w:val="16"/>
          <w:szCs w:val="16"/>
        </w:rPr>
        <w:t>MOHRI Data March 2023</w:t>
      </w:r>
    </w:p>
  </w:footnote>
  <w:footnote w:id="8">
    <w:p w14:paraId="6D66EE9F" w14:textId="51F80B1B" w:rsidR="0019218F" w:rsidRPr="0019218F" w:rsidRDefault="0019218F">
      <w:pPr>
        <w:pStyle w:val="FootnoteText"/>
        <w:rPr>
          <w:lang w:val="en-US"/>
        </w:rPr>
      </w:pPr>
      <w:r w:rsidRPr="0026461A">
        <w:rPr>
          <w:rStyle w:val="FootnoteReference"/>
          <w:sz w:val="16"/>
          <w:szCs w:val="16"/>
        </w:rPr>
        <w:footnoteRef/>
      </w:r>
      <w:r w:rsidRPr="0026461A">
        <w:rPr>
          <w:sz w:val="16"/>
          <w:szCs w:val="16"/>
        </w:rPr>
        <w:t xml:space="preserve"> </w:t>
      </w:r>
      <w:r w:rsidR="0026461A" w:rsidRPr="0026461A">
        <w:rPr>
          <w:sz w:val="16"/>
          <w:szCs w:val="16"/>
        </w:rPr>
        <w:t>https://www.qld.gov.au/__data/assets/pdf_file/0014/313700/Queensland-public-sector-Gender-pay-equity-dashboard-2022.pdf</w:t>
      </w:r>
    </w:p>
  </w:footnote>
  <w:footnote w:id="9">
    <w:p w14:paraId="1854C4F5" w14:textId="388CB319" w:rsidR="00A52376" w:rsidRPr="007A7F9A" w:rsidRDefault="00A52376">
      <w:pPr>
        <w:pStyle w:val="FootnoteText"/>
        <w:rPr>
          <w:sz w:val="16"/>
          <w:szCs w:val="16"/>
          <w:lang w:val="en-US"/>
        </w:rPr>
      </w:pPr>
      <w:r w:rsidRPr="007A7F9A">
        <w:rPr>
          <w:rStyle w:val="FootnoteReference"/>
          <w:sz w:val="16"/>
          <w:szCs w:val="16"/>
        </w:rPr>
        <w:footnoteRef/>
      </w:r>
      <w:r w:rsidRPr="007A7F9A">
        <w:rPr>
          <w:sz w:val="16"/>
          <w:szCs w:val="16"/>
        </w:rPr>
        <w:t xml:space="preserve"> qld.gov.au/about/how-government-works/objectives-for-the-community</w:t>
      </w:r>
    </w:p>
  </w:footnote>
  <w:footnote w:id="10">
    <w:p w14:paraId="15F9AF11" w14:textId="2A86A357" w:rsidR="00A52376" w:rsidRPr="00A52376" w:rsidRDefault="00A52376">
      <w:pPr>
        <w:pStyle w:val="FootnoteText"/>
        <w:rPr>
          <w:lang w:val="en-US"/>
        </w:rPr>
      </w:pPr>
      <w:r w:rsidRPr="007A7F9A">
        <w:rPr>
          <w:rStyle w:val="FootnoteReference"/>
          <w:sz w:val="16"/>
          <w:szCs w:val="16"/>
        </w:rPr>
        <w:footnoteRef/>
      </w:r>
      <w:r w:rsidRPr="007A7F9A">
        <w:rPr>
          <w:sz w:val="16"/>
          <w:szCs w:val="16"/>
        </w:rPr>
        <w:t xml:space="preserve"> </w:t>
      </w:r>
      <w:r w:rsidR="0013342F" w:rsidRPr="0013342F">
        <w:rPr>
          <w:sz w:val="16"/>
          <w:szCs w:val="16"/>
        </w:rPr>
        <w:t>https://www.qld.gov.au/__data/assets/pdf_file/0008/331001/Queensland-Public-Service-Commission-Strategic-Plan-2022-2026v2.pdf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EF37" w14:textId="0E62E1FB" w:rsidR="000A6BAD" w:rsidRPr="000A6BAD" w:rsidRDefault="000A6BAD" w:rsidP="000A6BAD">
    <w:pPr>
      <w:tabs>
        <w:tab w:val="center" w:pos="4513"/>
        <w:tab w:val="right" w:pos="9026"/>
      </w:tabs>
      <w:spacing w:line="360" w:lineRule="auto"/>
      <w:ind w:left="-567"/>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7FD" w14:textId="458E0880" w:rsidR="00BA1F82" w:rsidRDefault="00BA1F82">
    <w:pPr>
      <w:pStyle w:val="Header"/>
    </w:pPr>
  </w:p>
  <w:p w14:paraId="1774C416" w14:textId="77777777" w:rsidR="00591627" w:rsidRDefault="00591627"/>
</w:hdr>
</file>

<file path=word/intelligence2.xml><?xml version="1.0" encoding="utf-8"?>
<int2:intelligence xmlns:int2="http://schemas.microsoft.com/office/intelligence/2020/intelligence" xmlns:oel="http://schemas.microsoft.com/office/2019/extlst">
  <int2:observations>
    <int2:textHash int2:hashCode="8IA/8ZYgfyIvqR" int2:id="5FknPIdM">
      <int2:state int2:value="Rejected" int2:type="AugLoop_Text_Critique"/>
    </int2:textHash>
    <int2:textHash int2:hashCode="PYQecI/0a5IGNk" int2:id="FiPjUFAl">
      <int2:state int2:value="Rejected" int2:type="AugLoop_Text_Critique"/>
    </int2:textHash>
    <int2:textHash int2:hashCode="e2rspcGCjNCv8g" int2:id="N8jp0h9M">
      <int2:state int2:value="Rejected" int2:type="AugLoop_Text_Critique"/>
    </int2:textHash>
    <int2:textHash int2:hashCode="VCxKGWWOJSUr+G" int2:id="UxPNtLlK">
      <int2:state int2:value="Rejected" int2:type="AugLoop_Text_Critique"/>
    </int2:textHash>
    <int2:textHash int2:hashCode="nTSiDcgff4wJjI" int2:id="fCbrqnOb">
      <int2:state int2:value="Rejected" int2:type="AugLoop_Text_Critique"/>
    </int2:textHash>
    <int2:textHash int2:hashCode="A6IGEF2HWVlQSa" int2:id="kdpCJMuE">
      <int2:state int2:value="Rejected" int2:type="AugLoop_Text_Critique"/>
    </int2:textHash>
    <int2:textHash int2:hashCode="LIEY4Yo21rV4qO" int2:id="lx75aWS5">
      <int2:state int2:value="Rejected" int2:type="AugLoop_Text_Critique"/>
    </int2:textHash>
    <int2:textHash int2:hashCode="zguTlIlcDxShP+" int2:id="n0SS9hBS">
      <int2:state int2:value="Rejected" int2:type="AugLoop_Text_Critique"/>
    </int2:textHash>
    <int2:bookmark int2:bookmarkName="_Int_BDhbchHQ" int2:invalidationBookmarkName="" int2:hashCode="CamFZV03V7oP+G" int2:id="40ADcHFC">
      <int2:state int2:value="Rejected" int2:type="AugLoop_Text_Critique"/>
    </int2:bookmark>
    <int2:bookmark int2:bookmarkName="_Int_aEJRDAcl" int2:invalidationBookmarkName="" int2:hashCode="6p/7brSl8Wf2op" int2:id="7ShQrO0E">
      <int2:state int2:value="Rejected" int2:type="AugLoop_Text_Critique"/>
    </int2:bookmark>
    <int2:bookmark int2:bookmarkName="_Int_EzymUfm7" int2:invalidationBookmarkName="" int2:hashCode="f1OmjTJDRvyEV6" int2:id="i4nDZiFY">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6EDA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46CD3"/>
    <w:multiLevelType w:val="hybridMultilevel"/>
    <w:tmpl w:val="F490D7A8"/>
    <w:lvl w:ilvl="0" w:tplc="FE34AE7E">
      <w:start w:val="1"/>
      <w:numFmt w:val="lowerLetter"/>
      <w:pStyle w:val="Letterslist"/>
      <w:lvlText w:val="%1."/>
      <w:lvlJc w:val="left"/>
      <w:pPr>
        <w:ind w:left="360" w:hanging="360"/>
      </w:pPr>
    </w:lvl>
    <w:lvl w:ilvl="1" w:tplc="42F068FA">
      <w:start w:val="1"/>
      <w:numFmt w:val="lowerLetter"/>
      <w:lvlText w:val="%2."/>
      <w:lvlJc w:val="left"/>
      <w:pPr>
        <w:ind w:left="1080" w:hanging="360"/>
      </w:pPr>
    </w:lvl>
    <w:lvl w:ilvl="2" w:tplc="D368F4D0">
      <w:start w:val="1"/>
      <w:numFmt w:val="lowerRoman"/>
      <w:lvlText w:val="%3."/>
      <w:lvlJc w:val="right"/>
      <w:pPr>
        <w:ind w:left="1800" w:hanging="180"/>
      </w:pPr>
    </w:lvl>
    <w:lvl w:ilvl="3" w:tplc="52947902">
      <w:start w:val="1"/>
      <w:numFmt w:val="decimal"/>
      <w:lvlText w:val="%4."/>
      <w:lvlJc w:val="left"/>
      <w:pPr>
        <w:ind w:left="2520" w:hanging="360"/>
      </w:pPr>
    </w:lvl>
    <w:lvl w:ilvl="4" w:tplc="B1466F94">
      <w:start w:val="1"/>
      <w:numFmt w:val="lowerLetter"/>
      <w:lvlText w:val="%5."/>
      <w:lvlJc w:val="left"/>
      <w:pPr>
        <w:ind w:left="3240" w:hanging="360"/>
      </w:pPr>
    </w:lvl>
    <w:lvl w:ilvl="5" w:tplc="167862B2">
      <w:start w:val="1"/>
      <w:numFmt w:val="lowerRoman"/>
      <w:lvlText w:val="%6."/>
      <w:lvlJc w:val="right"/>
      <w:pPr>
        <w:ind w:left="3960" w:hanging="180"/>
      </w:pPr>
    </w:lvl>
    <w:lvl w:ilvl="6" w:tplc="A9B40BBE">
      <w:start w:val="1"/>
      <w:numFmt w:val="decimal"/>
      <w:lvlText w:val="%7."/>
      <w:lvlJc w:val="left"/>
      <w:pPr>
        <w:ind w:left="4680" w:hanging="360"/>
      </w:pPr>
    </w:lvl>
    <w:lvl w:ilvl="7" w:tplc="F1A4C9DC">
      <w:start w:val="1"/>
      <w:numFmt w:val="lowerLetter"/>
      <w:lvlText w:val="%8."/>
      <w:lvlJc w:val="left"/>
      <w:pPr>
        <w:ind w:left="5400" w:hanging="360"/>
      </w:pPr>
    </w:lvl>
    <w:lvl w:ilvl="8" w:tplc="AD66B8E8">
      <w:start w:val="1"/>
      <w:numFmt w:val="lowerRoman"/>
      <w:lvlText w:val="%9."/>
      <w:lvlJc w:val="right"/>
      <w:pPr>
        <w:ind w:left="6120" w:hanging="180"/>
      </w:pPr>
    </w:lvl>
  </w:abstractNum>
  <w:abstractNum w:abstractNumId="2" w15:restartNumberingAfterBreak="0">
    <w:nsid w:val="06CD1890"/>
    <w:multiLevelType w:val="hybridMultilevel"/>
    <w:tmpl w:val="FFFFFFFF"/>
    <w:lvl w:ilvl="0" w:tplc="EF588C34">
      <w:start w:val="1"/>
      <w:numFmt w:val="bullet"/>
      <w:pStyle w:val="ListBullet"/>
      <w:lvlText w:val=""/>
      <w:lvlJc w:val="left"/>
      <w:pPr>
        <w:ind w:left="720" w:hanging="360"/>
      </w:pPr>
      <w:rPr>
        <w:rFonts w:ascii="Symbol" w:hAnsi="Symbol" w:hint="default"/>
      </w:rPr>
    </w:lvl>
    <w:lvl w:ilvl="1" w:tplc="26D056DE">
      <w:start w:val="1"/>
      <w:numFmt w:val="bullet"/>
      <w:lvlText w:val="o"/>
      <w:lvlJc w:val="left"/>
      <w:pPr>
        <w:ind w:left="1440" w:hanging="360"/>
      </w:pPr>
      <w:rPr>
        <w:rFonts w:ascii="Courier New" w:hAnsi="Courier New" w:hint="default"/>
      </w:rPr>
    </w:lvl>
    <w:lvl w:ilvl="2" w:tplc="F634E9E8">
      <w:start w:val="1"/>
      <w:numFmt w:val="bullet"/>
      <w:lvlText w:val=""/>
      <w:lvlJc w:val="left"/>
      <w:pPr>
        <w:ind w:left="2160" w:hanging="360"/>
      </w:pPr>
      <w:rPr>
        <w:rFonts w:ascii="Wingdings" w:hAnsi="Wingdings" w:hint="default"/>
      </w:rPr>
    </w:lvl>
    <w:lvl w:ilvl="3" w:tplc="16F62E40">
      <w:start w:val="1"/>
      <w:numFmt w:val="bullet"/>
      <w:lvlText w:val=""/>
      <w:lvlJc w:val="left"/>
      <w:pPr>
        <w:ind w:left="2880" w:hanging="360"/>
      </w:pPr>
      <w:rPr>
        <w:rFonts w:ascii="Symbol" w:hAnsi="Symbol" w:hint="default"/>
      </w:rPr>
    </w:lvl>
    <w:lvl w:ilvl="4" w:tplc="A09AD486">
      <w:start w:val="1"/>
      <w:numFmt w:val="bullet"/>
      <w:lvlText w:val="o"/>
      <w:lvlJc w:val="left"/>
      <w:pPr>
        <w:ind w:left="3600" w:hanging="360"/>
      </w:pPr>
      <w:rPr>
        <w:rFonts w:ascii="Courier New" w:hAnsi="Courier New" w:hint="default"/>
      </w:rPr>
    </w:lvl>
    <w:lvl w:ilvl="5" w:tplc="D26C3A4A">
      <w:start w:val="1"/>
      <w:numFmt w:val="bullet"/>
      <w:lvlText w:val=""/>
      <w:lvlJc w:val="left"/>
      <w:pPr>
        <w:ind w:left="4320" w:hanging="360"/>
      </w:pPr>
      <w:rPr>
        <w:rFonts w:ascii="Wingdings" w:hAnsi="Wingdings" w:hint="default"/>
      </w:rPr>
    </w:lvl>
    <w:lvl w:ilvl="6" w:tplc="9F7E2FF4">
      <w:start w:val="1"/>
      <w:numFmt w:val="bullet"/>
      <w:lvlText w:val=""/>
      <w:lvlJc w:val="left"/>
      <w:pPr>
        <w:ind w:left="5040" w:hanging="360"/>
      </w:pPr>
      <w:rPr>
        <w:rFonts w:ascii="Symbol" w:hAnsi="Symbol" w:hint="default"/>
      </w:rPr>
    </w:lvl>
    <w:lvl w:ilvl="7" w:tplc="EF449CBC">
      <w:start w:val="1"/>
      <w:numFmt w:val="bullet"/>
      <w:lvlText w:val="o"/>
      <w:lvlJc w:val="left"/>
      <w:pPr>
        <w:ind w:left="5760" w:hanging="360"/>
      </w:pPr>
      <w:rPr>
        <w:rFonts w:ascii="Courier New" w:hAnsi="Courier New" w:hint="default"/>
      </w:rPr>
    </w:lvl>
    <w:lvl w:ilvl="8" w:tplc="6640438A">
      <w:start w:val="1"/>
      <w:numFmt w:val="bullet"/>
      <w:lvlText w:val=""/>
      <w:lvlJc w:val="left"/>
      <w:pPr>
        <w:ind w:left="6480" w:hanging="360"/>
      </w:pPr>
      <w:rPr>
        <w:rFonts w:ascii="Wingdings" w:hAnsi="Wingdings" w:hint="default"/>
      </w:rPr>
    </w:lvl>
  </w:abstractNum>
  <w:abstractNum w:abstractNumId="3" w15:restartNumberingAfterBreak="0">
    <w:nsid w:val="12353B79"/>
    <w:multiLevelType w:val="hybridMultilevel"/>
    <w:tmpl w:val="92067524"/>
    <w:lvl w:ilvl="0" w:tplc="EB384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77C7A"/>
    <w:multiLevelType w:val="hybridMultilevel"/>
    <w:tmpl w:val="3AE84CEA"/>
    <w:lvl w:ilvl="0" w:tplc="3A982FD0">
      <w:start w:val="1"/>
      <w:numFmt w:val="bullet"/>
      <w:pStyle w:val="PSC-Bullets1"/>
      <w:lvlText w:val=""/>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C55611"/>
    <w:multiLevelType w:val="hybridMultilevel"/>
    <w:tmpl w:val="1ADCF374"/>
    <w:lvl w:ilvl="0" w:tplc="5BE27238">
      <w:start w:val="1"/>
      <w:numFmt w:val="bullet"/>
      <w:pStyle w:val="PSC-Bullets2"/>
      <w:lvlText w:val="–"/>
      <w:lvlJc w:val="left"/>
      <w:pPr>
        <w:ind w:left="1080" w:hanging="360"/>
      </w:pPr>
      <w:rPr>
        <w:rFonts w:ascii="Arial Black" w:hAnsi="Arial Black" w:cs="Symbol" w:hint="default"/>
        <w:b/>
        <w:i w:val="0"/>
        <w:color w:val="auto"/>
        <w:w w:val="100"/>
        <w:kern w:val="0"/>
        <w14:cntxtAlts w14:val="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6" w15:restartNumberingAfterBreak="0">
    <w:nsid w:val="21E47109"/>
    <w:multiLevelType w:val="hybridMultilevel"/>
    <w:tmpl w:val="4782C5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A601E"/>
    <w:multiLevelType w:val="hybridMultilevel"/>
    <w:tmpl w:val="FFFFFFFF"/>
    <w:lvl w:ilvl="0" w:tplc="3482A5DE">
      <w:start w:val="1"/>
      <w:numFmt w:val="bullet"/>
      <w:lvlText w:val=""/>
      <w:lvlJc w:val="left"/>
      <w:pPr>
        <w:ind w:left="720" w:hanging="360"/>
      </w:pPr>
      <w:rPr>
        <w:rFonts w:ascii="Symbol" w:hAnsi="Symbol" w:hint="default"/>
      </w:rPr>
    </w:lvl>
    <w:lvl w:ilvl="1" w:tplc="AF9A226E">
      <w:start w:val="1"/>
      <w:numFmt w:val="bullet"/>
      <w:lvlText w:val="o"/>
      <w:lvlJc w:val="left"/>
      <w:pPr>
        <w:ind w:left="1440" w:hanging="360"/>
      </w:pPr>
      <w:rPr>
        <w:rFonts w:ascii="Courier New" w:hAnsi="Courier New" w:hint="default"/>
      </w:rPr>
    </w:lvl>
    <w:lvl w:ilvl="2" w:tplc="182A4E8C">
      <w:start w:val="1"/>
      <w:numFmt w:val="bullet"/>
      <w:lvlText w:val=""/>
      <w:lvlJc w:val="left"/>
      <w:pPr>
        <w:ind w:left="2160" w:hanging="360"/>
      </w:pPr>
      <w:rPr>
        <w:rFonts w:ascii="Wingdings" w:hAnsi="Wingdings" w:hint="default"/>
      </w:rPr>
    </w:lvl>
    <w:lvl w:ilvl="3" w:tplc="BC3CBA96">
      <w:start w:val="1"/>
      <w:numFmt w:val="bullet"/>
      <w:lvlText w:val=""/>
      <w:lvlJc w:val="left"/>
      <w:pPr>
        <w:ind w:left="2880" w:hanging="360"/>
      </w:pPr>
      <w:rPr>
        <w:rFonts w:ascii="Symbol" w:hAnsi="Symbol" w:hint="default"/>
      </w:rPr>
    </w:lvl>
    <w:lvl w:ilvl="4" w:tplc="BDC24AFA">
      <w:start w:val="1"/>
      <w:numFmt w:val="bullet"/>
      <w:lvlText w:val="o"/>
      <w:lvlJc w:val="left"/>
      <w:pPr>
        <w:ind w:left="3600" w:hanging="360"/>
      </w:pPr>
      <w:rPr>
        <w:rFonts w:ascii="Courier New" w:hAnsi="Courier New" w:hint="default"/>
      </w:rPr>
    </w:lvl>
    <w:lvl w:ilvl="5" w:tplc="D4C6442A">
      <w:start w:val="1"/>
      <w:numFmt w:val="bullet"/>
      <w:lvlText w:val=""/>
      <w:lvlJc w:val="left"/>
      <w:pPr>
        <w:ind w:left="4320" w:hanging="360"/>
      </w:pPr>
      <w:rPr>
        <w:rFonts w:ascii="Wingdings" w:hAnsi="Wingdings" w:hint="default"/>
      </w:rPr>
    </w:lvl>
    <w:lvl w:ilvl="6" w:tplc="6E9857A4">
      <w:start w:val="1"/>
      <w:numFmt w:val="bullet"/>
      <w:lvlText w:val=""/>
      <w:lvlJc w:val="left"/>
      <w:pPr>
        <w:ind w:left="5040" w:hanging="360"/>
      </w:pPr>
      <w:rPr>
        <w:rFonts w:ascii="Symbol" w:hAnsi="Symbol" w:hint="default"/>
      </w:rPr>
    </w:lvl>
    <w:lvl w:ilvl="7" w:tplc="A5121F56">
      <w:start w:val="1"/>
      <w:numFmt w:val="bullet"/>
      <w:lvlText w:val="o"/>
      <w:lvlJc w:val="left"/>
      <w:pPr>
        <w:ind w:left="5760" w:hanging="360"/>
      </w:pPr>
      <w:rPr>
        <w:rFonts w:ascii="Courier New" w:hAnsi="Courier New" w:hint="default"/>
      </w:rPr>
    </w:lvl>
    <w:lvl w:ilvl="8" w:tplc="70CCA24A">
      <w:start w:val="1"/>
      <w:numFmt w:val="bullet"/>
      <w:lvlText w:val=""/>
      <w:lvlJc w:val="left"/>
      <w:pPr>
        <w:ind w:left="6480" w:hanging="360"/>
      </w:pPr>
      <w:rPr>
        <w:rFonts w:ascii="Wingdings" w:hAnsi="Wingdings" w:hint="default"/>
      </w:rPr>
    </w:lvl>
  </w:abstractNum>
  <w:abstractNum w:abstractNumId="8" w15:restartNumberingAfterBreak="0">
    <w:nsid w:val="41093787"/>
    <w:multiLevelType w:val="hybridMultilevel"/>
    <w:tmpl w:val="071C330C"/>
    <w:lvl w:ilvl="0" w:tplc="FAF2D5B0">
      <w:start w:val="1"/>
      <w:numFmt w:val="lowerLetter"/>
      <w:lvlText w:val="%1."/>
      <w:lvlJc w:val="left"/>
      <w:pPr>
        <w:ind w:left="720" w:hanging="360"/>
      </w:pPr>
      <w:rPr>
        <w:rFonts w:hint="default"/>
      </w:rPr>
    </w:lvl>
    <w:lvl w:ilvl="1" w:tplc="C81C559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020A2"/>
    <w:multiLevelType w:val="multilevel"/>
    <w:tmpl w:val="E5603AF2"/>
    <w:lvl w:ilvl="0">
      <w:start w:val="1"/>
      <w:numFmt w:val="upperLetter"/>
      <w:pStyle w:val="SectionHeadingNumbered"/>
      <w:suff w:val="space"/>
      <w:lvlText w:val="%1 "/>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ectionSubheading"/>
      <w:suff w:val="space"/>
      <w:lvlText w:val="%1%2"/>
      <w:lvlJc w:val="left"/>
      <w:pPr>
        <w:ind w:left="1674" w:hanging="1674"/>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84138FC"/>
    <w:multiLevelType w:val="multilevel"/>
    <w:tmpl w:val="7406A56E"/>
    <w:lvl w:ilvl="0">
      <w:start w:val="1"/>
      <w:numFmt w:val="bullet"/>
      <w:pStyle w:val="PSC-Bullets3"/>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F6D436F"/>
    <w:multiLevelType w:val="hybridMultilevel"/>
    <w:tmpl w:val="6AF0F82A"/>
    <w:lvl w:ilvl="0" w:tplc="04090001">
      <w:start w:val="1"/>
      <w:numFmt w:val="bullet"/>
      <w:lvlText w:val=""/>
      <w:lvlJc w:val="left"/>
      <w:pPr>
        <w:ind w:left="862" w:hanging="360"/>
      </w:pPr>
      <w:rPr>
        <w:rFonts w:ascii="Symbol" w:hAnsi="Symbol"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55B25A24"/>
    <w:multiLevelType w:val="hybridMultilevel"/>
    <w:tmpl w:val="D766EBF4"/>
    <w:lvl w:ilvl="0" w:tplc="FFFFFFFF">
      <w:start w:val="1"/>
      <w:numFmt w:val="lowerLetter"/>
      <w:lvlText w:val="%1."/>
      <w:lvlJc w:val="left"/>
      <w:pPr>
        <w:ind w:left="360"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583A7E45"/>
    <w:multiLevelType w:val="hybridMultilevel"/>
    <w:tmpl w:val="BC7C88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A50DCF"/>
    <w:multiLevelType w:val="hybridMultilevel"/>
    <w:tmpl w:val="FB0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9A1"/>
    <w:multiLevelType w:val="hybridMultilevel"/>
    <w:tmpl w:val="C24695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E91CC4"/>
    <w:multiLevelType w:val="hybridMultilevel"/>
    <w:tmpl w:val="3A02AF5C"/>
    <w:lvl w:ilvl="0" w:tplc="D66C7820">
      <w:start w:val="1"/>
      <w:numFmt w:val="decimal"/>
      <w:pStyle w:val="Numberedlis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B6330"/>
    <w:multiLevelType w:val="hybridMultilevel"/>
    <w:tmpl w:val="5BAAF76A"/>
    <w:lvl w:ilvl="0" w:tplc="EE76AC10">
      <w:start w:val="1"/>
      <w:numFmt w:val="decimal"/>
      <w:lvlText w:val="%1."/>
      <w:lvlJc w:val="left"/>
      <w:pPr>
        <w:ind w:left="2490" w:hanging="360"/>
      </w:pPr>
      <w:rPr>
        <w:rFonts w:hint="default"/>
      </w:rPr>
    </w:lvl>
    <w:lvl w:ilvl="1" w:tplc="EB384F9A">
      <w:start w:val="1"/>
      <w:numFmt w:val="bullet"/>
      <w:lvlText w:val=""/>
      <w:lvlJc w:val="left"/>
      <w:pPr>
        <w:ind w:left="1353" w:hanging="360"/>
      </w:pPr>
      <w:rPr>
        <w:rFonts w:ascii="Symbol" w:hAnsi="Symbol" w:hint="default"/>
      </w:rPr>
    </w:lvl>
    <w:lvl w:ilvl="2" w:tplc="0C09001B">
      <w:start w:val="1"/>
      <w:numFmt w:val="lowerRoman"/>
      <w:lvlText w:val="%3."/>
      <w:lvlJc w:val="right"/>
      <w:pPr>
        <w:ind w:left="4574" w:hanging="180"/>
      </w:pPr>
    </w:lvl>
    <w:lvl w:ilvl="3" w:tplc="0C09000F" w:tentative="1">
      <w:start w:val="1"/>
      <w:numFmt w:val="decimal"/>
      <w:lvlText w:val="%4."/>
      <w:lvlJc w:val="left"/>
      <w:pPr>
        <w:ind w:left="5294" w:hanging="360"/>
      </w:pPr>
    </w:lvl>
    <w:lvl w:ilvl="4" w:tplc="0C090019" w:tentative="1">
      <w:start w:val="1"/>
      <w:numFmt w:val="lowerLetter"/>
      <w:lvlText w:val="%5."/>
      <w:lvlJc w:val="left"/>
      <w:pPr>
        <w:ind w:left="6014" w:hanging="360"/>
      </w:pPr>
    </w:lvl>
    <w:lvl w:ilvl="5" w:tplc="0C09001B" w:tentative="1">
      <w:start w:val="1"/>
      <w:numFmt w:val="lowerRoman"/>
      <w:lvlText w:val="%6."/>
      <w:lvlJc w:val="right"/>
      <w:pPr>
        <w:ind w:left="6734" w:hanging="180"/>
      </w:pPr>
    </w:lvl>
    <w:lvl w:ilvl="6" w:tplc="0C09000F" w:tentative="1">
      <w:start w:val="1"/>
      <w:numFmt w:val="decimal"/>
      <w:lvlText w:val="%7."/>
      <w:lvlJc w:val="left"/>
      <w:pPr>
        <w:ind w:left="7454" w:hanging="360"/>
      </w:pPr>
    </w:lvl>
    <w:lvl w:ilvl="7" w:tplc="0C090019" w:tentative="1">
      <w:start w:val="1"/>
      <w:numFmt w:val="lowerLetter"/>
      <w:lvlText w:val="%8."/>
      <w:lvlJc w:val="left"/>
      <w:pPr>
        <w:ind w:left="8174" w:hanging="360"/>
      </w:pPr>
    </w:lvl>
    <w:lvl w:ilvl="8" w:tplc="0C09001B" w:tentative="1">
      <w:start w:val="1"/>
      <w:numFmt w:val="lowerRoman"/>
      <w:lvlText w:val="%9."/>
      <w:lvlJc w:val="right"/>
      <w:pPr>
        <w:ind w:left="8894" w:hanging="180"/>
      </w:pPr>
    </w:lvl>
  </w:abstractNum>
  <w:abstractNum w:abstractNumId="18" w15:restartNumberingAfterBreak="0">
    <w:nsid w:val="63D82BC6"/>
    <w:multiLevelType w:val="hybridMultilevel"/>
    <w:tmpl w:val="E2D6C7A2"/>
    <w:lvl w:ilvl="0" w:tplc="47DC1544">
      <w:start w:val="1"/>
      <w:numFmt w:val="decimal"/>
      <w:pStyle w:val="Bullets1"/>
      <w:lvlText w:val="%1."/>
      <w:lvlJc w:val="left"/>
      <w:pPr>
        <w:ind w:left="720" w:hanging="360"/>
      </w:pPr>
    </w:lvl>
    <w:lvl w:ilvl="1" w:tplc="0C090019">
      <w:start w:val="1"/>
      <w:numFmt w:val="lowerLetter"/>
      <w:pStyle w:val="Bullets2"/>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FC0E07"/>
    <w:multiLevelType w:val="hybridMultilevel"/>
    <w:tmpl w:val="5D3C21F6"/>
    <w:lvl w:ilvl="0" w:tplc="FFFFFFFF">
      <w:start w:val="1"/>
      <w:numFmt w:val="decimal"/>
      <w:pStyle w:val="NoteIndent"/>
      <w:lvlText w:val="%1."/>
      <w:lvlJc w:val="left"/>
      <w:pPr>
        <w:ind w:left="360" w:hanging="360"/>
      </w:pPr>
      <w:rPr>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15:restartNumberingAfterBreak="0">
    <w:nsid w:val="75A05C56"/>
    <w:multiLevelType w:val="hybridMultilevel"/>
    <w:tmpl w:val="4DA408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9552174">
    <w:abstractNumId w:val="18"/>
  </w:num>
  <w:num w:numId="2" w16cid:durableId="1650359746">
    <w:abstractNumId w:val="16"/>
  </w:num>
  <w:num w:numId="3" w16cid:durableId="1173837634">
    <w:abstractNumId w:val="4"/>
  </w:num>
  <w:num w:numId="4" w16cid:durableId="2088257594">
    <w:abstractNumId w:val="5"/>
  </w:num>
  <w:num w:numId="5" w16cid:durableId="1670014230">
    <w:abstractNumId w:val="10"/>
  </w:num>
  <w:num w:numId="6" w16cid:durableId="734356347">
    <w:abstractNumId w:val="8"/>
  </w:num>
  <w:num w:numId="7" w16cid:durableId="1400520161">
    <w:abstractNumId w:val="2"/>
  </w:num>
  <w:num w:numId="8" w16cid:durableId="1042097088">
    <w:abstractNumId w:val="7"/>
  </w:num>
  <w:num w:numId="9" w16cid:durableId="608392733">
    <w:abstractNumId w:val="15"/>
  </w:num>
  <w:num w:numId="10" w16cid:durableId="1785226208">
    <w:abstractNumId w:val="19"/>
  </w:num>
  <w:num w:numId="11" w16cid:durableId="1147287623">
    <w:abstractNumId w:val="1"/>
  </w:num>
  <w:num w:numId="12" w16cid:durableId="1905722135">
    <w:abstractNumId w:val="9"/>
  </w:num>
  <w:num w:numId="13" w16cid:durableId="1908415756">
    <w:abstractNumId w:val="12"/>
  </w:num>
  <w:num w:numId="14" w16cid:durableId="630213612">
    <w:abstractNumId w:val="0"/>
  </w:num>
  <w:num w:numId="15" w16cid:durableId="1413240507">
    <w:abstractNumId w:val="11"/>
  </w:num>
  <w:num w:numId="16" w16cid:durableId="20021994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65805">
    <w:abstractNumId w:val="3"/>
  </w:num>
  <w:num w:numId="18" w16cid:durableId="1221788792">
    <w:abstractNumId w:val="17"/>
  </w:num>
  <w:num w:numId="19" w16cid:durableId="1043869465">
    <w:abstractNumId w:val="6"/>
  </w:num>
  <w:num w:numId="20" w16cid:durableId="429350973">
    <w:abstractNumId w:val="13"/>
  </w:num>
  <w:num w:numId="21" w16cid:durableId="2115707795">
    <w:abstractNumId w:val="20"/>
  </w:num>
  <w:num w:numId="22" w16cid:durableId="115999010">
    <w:abstractNumId w:val="14"/>
  </w:num>
  <w:num w:numId="23" w16cid:durableId="1849783840">
    <w:abstractNumId w:val="1"/>
    <w:lvlOverride w:ilvl="0">
      <w:startOverride w:val="1"/>
    </w:lvlOverride>
  </w:num>
  <w:num w:numId="24" w16cid:durableId="1419134922">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7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89"/>
    <w:rsid w:val="00000124"/>
    <w:rsid w:val="00000458"/>
    <w:rsid w:val="00000843"/>
    <w:rsid w:val="000017C2"/>
    <w:rsid w:val="00001A3D"/>
    <w:rsid w:val="00001F92"/>
    <w:rsid w:val="000023A2"/>
    <w:rsid w:val="00002C26"/>
    <w:rsid w:val="00002DA9"/>
    <w:rsid w:val="0000369E"/>
    <w:rsid w:val="00003D34"/>
    <w:rsid w:val="00003D6B"/>
    <w:rsid w:val="00003DE6"/>
    <w:rsid w:val="00003DEA"/>
    <w:rsid w:val="00004B35"/>
    <w:rsid w:val="000057D5"/>
    <w:rsid w:val="00005D2B"/>
    <w:rsid w:val="0000671A"/>
    <w:rsid w:val="000068E4"/>
    <w:rsid w:val="00006BA1"/>
    <w:rsid w:val="00006FE4"/>
    <w:rsid w:val="00007050"/>
    <w:rsid w:val="000074E0"/>
    <w:rsid w:val="00007612"/>
    <w:rsid w:val="00010459"/>
    <w:rsid w:val="000105ED"/>
    <w:rsid w:val="00011046"/>
    <w:rsid w:val="000112BC"/>
    <w:rsid w:val="00011D91"/>
    <w:rsid w:val="00012300"/>
    <w:rsid w:val="0001232E"/>
    <w:rsid w:val="000126F0"/>
    <w:rsid w:val="00012BF8"/>
    <w:rsid w:val="00012F5D"/>
    <w:rsid w:val="0001329A"/>
    <w:rsid w:val="00013372"/>
    <w:rsid w:val="0001352E"/>
    <w:rsid w:val="00013580"/>
    <w:rsid w:val="00013685"/>
    <w:rsid w:val="000136D9"/>
    <w:rsid w:val="0001386C"/>
    <w:rsid w:val="0001388F"/>
    <w:rsid w:val="00013FF4"/>
    <w:rsid w:val="000140B3"/>
    <w:rsid w:val="0001427C"/>
    <w:rsid w:val="000146C6"/>
    <w:rsid w:val="00014B29"/>
    <w:rsid w:val="0001520D"/>
    <w:rsid w:val="000155F2"/>
    <w:rsid w:val="0001560D"/>
    <w:rsid w:val="000156E9"/>
    <w:rsid w:val="000157AA"/>
    <w:rsid w:val="00015E8F"/>
    <w:rsid w:val="0001684B"/>
    <w:rsid w:val="0001685E"/>
    <w:rsid w:val="00016E1C"/>
    <w:rsid w:val="00016F3F"/>
    <w:rsid w:val="00017E8C"/>
    <w:rsid w:val="00020A9A"/>
    <w:rsid w:val="00020C5B"/>
    <w:rsid w:val="000210D1"/>
    <w:rsid w:val="000219B4"/>
    <w:rsid w:val="00021FFA"/>
    <w:rsid w:val="00022002"/>
    <w:rsid w:val="0002246F"/>
    <w:rsid w:val="000225AA"/>
    <w:rsid w:val="00022D9E"/>
    <w:rsid w:val="00023127"/>
    <w:rsid w:val="00023251"/>
    <w:rsid w:val="000239D9"/>
    <w:rsid w:val="00023DCF"/>
    <w:rsid w:val="00024AD3"/>
    <w:rsid w:val="00024F3A"/>
    <w:rsid w:val="000250A9"/>
    <w:rsid w:val="000258DB"/>
    <w:rsid w:val="000258E8"/>
    <w:rsid w:val="00025ADB"/>
    <w:rsid w:val="00026327"/>
    <w:rsid w:val="00026977"/>
    <w:rsid w:val="00026A4E"/>
    <w:rsid w:val="00026BF7"/>
    <w:rsid w:val="0002751E"/>
    <w:rsid w:val="00027682"/>
    <w:rsid w:val="000276B8"/>
    <w:rsid w:val="00027D77"/>
    <w:rsid w:val="00027EDB"/>
    <w:rsid w:val="000301CB"/>
    <w:rsid w:val="00030727"/>
    <w:rsid w:val="0003093C"/>
    <w:rsid w:val="000309F2"/>
    <w:rsid w:val="00030F86"/>
    <w:rsid w:val="0003152A"/>
    <w:rsid w:val="0003183F"/>
    <w:rsid w:val="00031C15"/>
    <w:rsid w:val="00031EC1"/>
    <w:rsid w:val="00032736"/>
    <w:rsid w:val="00032D13"/>
    <w:rsid w:val="00032F3D"/>
    <w:rsid w:val="00033260"/>
    <w:rsid w:val="000334BE"/>
    <w:rsid w:val="000334C2"/>
    <w:rsid w:val="000339AF"/>
    <w:rsid w:val="00033BAB"/>
    <w:rsid w:val="00033C30"/>
    <w:rsid w:val="00033CE1"/>
    <w:rsid w:val="00033EA4"/>
    <w:rsid w:val="00034236"/>
    <w:rsid w:val="00034761"/>
    <w:rsid w:val="00035372"/>
    <w:rsid w:val="000353A8"/>
    <w:rsid w:val="000358CF"/>
    <w:rsid w:val="000359F8"/>
    <w:rsid w:val="00035B28"/>
    <w:rsid w:val="000361E1"/>
    <w:rsid w:val="0003682C"/>
    <w:rsid w:val="00036D0E"/>
    <w:rsid w:val="00036FDF"/>
    <w:rsid w:val="00037173"/>
    <w:rsid w:val="00037B49"/>
    <w:rsid w:val="00037B65"/>
    <w:rsid w:val="00037B66"/>
    <w:rsid w:val="00037F2A"/>
    <w:rsid w:val="00040139"/>
    <w:rsid w:val="00040148"/>
    <w:rsid w:val="00040689"/>
    <w:rsid w:val="0004150E"/>
    <w:rsid w:val="000417B2"/>
    <w:rsid w:val="00041B47"/>
    <w:rsid w:val="00041E48"/>
    <w:rsid w:val="000420BA"/>
    <w:rsid w:val="0004220E"/>
    <w:rsid w:val="00042389"/>
    <w:rsid w:val="0004268C"/>
    <w:rsid w:val="000429F6"/>
    <w:rsid w:val="00042CFB"/>
    <w:rsid w:val="0004481D"/>
    <w:rsid w:val="00044A42"/>
    <w:rsid w:val="00045546"/>
    <w:rsid w:val="00045E2A"/>
    <w:rsid w:val="0004690A"/>
    <w:rsid w:val="00046993"/>
    <w:rsid w:val="00046C1E"/>
    <w:rsid w:val="00046E28"/>
    <w:rsid w:val="00047A1E"/>
    <w:rsid w:val="00047B4C"/>
    <w:rsid w:val="00047F6B"/>
    <w:rsid w:val="0005051E"/>
    <w:rsid w:val="000505B3"/>
    <w:rsid w:val="0005137F"/>
    <w:rsid w:val="00051CA2"/>
    <w:rsid w:val="000520E2"/>
    <w:rsid w:val="000522EE"/>
    <w:rsid w:val="000524CB"/>
    <w:rsid w:val="00052A71"/>
    <w:rsid w:val="00053046"/>
    <w:rsid w:val="00053068"/>
    <w:rsid w:val="00053120"/>
    <w:rsid w:val="00053188"/>
    <w:rsid w:val="00053282"/>
    <w:rsid w:val="000532F4"/>
    <w:rsid w:val="0005482A"/>
    <w:rsid w:val="00054878"/>
    <w:rsid w:val="00054CF9"/>
    <w:rsid w:val="00054D99"/>
    <w:rsid w:val="000555BC"/>
    <w:rsid w:val="0005601D"/>
    <w:rsid w:val="00056CC0"/>
    <w:rsid w:val="000570DF"/>
    <w:rsid w:val="00057548"/>
    <w:rsid w:val="0005776A"/>
    <w:rsid w:val="000577AE"/>
    <w:rsid w:val="00057BF0"/>
    <w:rsid w:val="00060054"/>
    <w:rsid w:val="000601BF"/>
    <w:rsid w:val="000603A0"/>
    <w:rsid w:val="00060834"/>
    <w:rsid w:val="00061013"/>
    <w:rsid w:val="0006172E"/>
    <w:rsid w:val="000619EC"/>
    <w:rsid w:val="0006231B"/>
    <w:rsid w:val="000626E2"/>
    <w:rsid w:val="000632EA"/>
    <w:rsid w:val="000633CF"/>
    <w:rsid w:val="000638BF"/>
    <w:rsid w:val="0006393B"/>
    <w:rsid w:val="00063A75"/>
    <w:rsid w:val="0006436C"/>
    <w:rsid w:val="000645CB"/>
    <w:rsid w:val="00064D84"/>
    <w:rsid w:val="00064F87"/>
    <w:rsid w:val="0006529B"/>
    <w:rsid w:val="00065457"/>
    <w:rsid w:val="000654E0"/>
    <w:rsid w:val="000657DC"/>
    <w:rsid w:val="00065BEA"/>
    <w:rsid w:val="00066374"/>
    <w:rsid w:val="00066643"/>
    <w:rsid w:val="000666BE"/>
    <w:rsid w:val="000669BA"/>
    <w:rsid w:val="00066BAF"/>
    <w:rsid w:val="00066CA0"/>
    <w:rsid w:val="0007180E"/>
    <w:rsid w:val="00071D85"/>
    <w:rsid w:val="00071E5D"/>
    <w:rsid w:val="00071E86"/>
    <w:rsid w:val="00071EFC"/>
    <w:rsid w:val="000720F4"/>
    <w:rsid w:val="000721F0"/>
    <w:rsid w:val="00072839"/>
    <w:rsid w:val="00072860"/>
    <w:rsid w:val="00072966"/>
    <w:rsid w:val="00072DC9"/>
    <w:rsid w:val="00072F8C"/>
    <w:rsid w:val="00073153"/>
    <w:rsid w:val="00073A8D"/>
    <w:rsid w:val="00074D0F"/>
    <w:rsid w:val="00074E39"/>
    <w:rsid w:val="00074EBD"/>
    <w:rsid w:val="000754D0"/>
    <w:rsid w:val="000754FC"/>
    <w:rsid w:val="00075535"/>
    <w:rsid w:val="000758DA"/>
    <w:rsid w:val="00075C4B"/>
    <w:rsid w:val="0007612F"/>
    <w:rsid w:val="0007651C"/>
    <w:rsid w:val="00076C37"/>
    <w:rsid w:val="00076CE0"/>
    <w:rsid w:val="00076DA8"/>
    <w:rsid w:val="00076F40"/>
    <w:rsid w:val="0007709A"/>
    <w:rsid w:val="0007733C"/>
    <w:rsid w:val="00077956"/>
    <w:rsid w:val="00077B7A"/>
    <w:rsid w:val="00077D39"/>
    <w:rsid w:val="00077E87"/>
    <w:rsid w:val="00077E96"/>
    <w:rsid w:val="00080406"/>
    <w:rsid w:val="00080F26"/>
    <w:rsid w:val="00081044"/>
    <w:rsid w:val="000810B7"/>
    <w:rsid w:val="00081104"/>
    <w:rsid w:val="000817BC"/>
    <w:rsid w:val="000819B4"/>
    <w:rsid w:val="00081A0C"/>
    <w:rsid w:val="00081F82"/>
    <w:rsid w:val="0008203A"/>
    <w:rsid w:val="0008230D"/>
    <w:rsid w:val="0008265B"/>
    <w:rsid w:val="000828A9"/>
    <w:rsid w:val="00082E30"/>
    <w:rsid w:val="0008311D"/>
    <w:rsid w:val="0008334C"/>
    <w:rsid w:val="00083384"/>
    <w:rsid w:val="00083D98"/>
    <w:rsid w:val="00083E8E"/>
    <w:rsid w:val="00084067"/>
    <w:rsid w:val="00084FEF"/>
    <w:rsid w:val="0008521D"/>
    <w:rsid w:val="00085CFE"/>
    <w:rsid w:val="000861A8"/>
    <w:rsid w:val="0008649B"/>
    <w:rsid w:val="000868CB"/>
    <w:rsid w:val="00086EF7"/>
    <w:rsid w:val="00087120"/>
    <w:rsid w:val="000874E5"/>
    <w:rsid w:val="00087630"/>
    <w:rsid w:val="000879EF"/>
    <w:rsid w:val="00087FC1"/>
    <w:rsid w:val="000904E0"/>
    <w:rsid w:val="000905FC"/>
    <w:rsid w:val="00090B1A"/>
    <w:rsid w:val="00090C01"/>
    <w:rsid w:val="00090DFE"/>
    <w:rsid w:val="00090F34"/>
    <w:rsid w:val="00091AF0"/>
    <w:rsid w:val="00091D11"/>
    <w:rsid w:val="00091E99"/>
    <w:rsid w:val="0009287E"/>
    <w:rsid w:val="0009289A"/>
    <w:rsid w:val="00092D25"/>
    <w:rsid w:val="00093014"/>
    <w:rsid w:val="000941D5"/>
    <w:rsid w:val="00094568"/>
    <w:rsid w:val="00094628"/>
    <w:rsid w:val="00094EA5"/>
    <w:rsid w:val="00095278"/>
    <w:rsid w:val="0009568F"/>
    <w:rsid w:val="000958F3"/>
    <w:rsid w:val="00095A61"/>
    <w:rsid w:val="00095C07"/>
    <w:rsid w:val="0009608D"/>
    <w:rsid w:val="00096304"/>
    <w:rsid w:val="000967DC"/>
    <w:rsid w:val="00096959"/>
    <w:rsid w:val="00096C46"/>
    <w:rsid w:val="000971E2"/>
    <w:rsid w:val="0009796E"/>
    <w:rsid w:val="00097AFE"/>
    <w:rsid w:val="000A0302"/>
    <w:rsid w:val="000A03A0"/>
    <w:rsid w:val="000A0702"/>
    <w:rsid w:val="000A072C"/>
    <w:rsid w:val="000A07BE"/>
    <w:rsid w:val="000A13B6"/>
    <w:rsid w:val="000A1966"/>
    <w:rsid w:val="000A197D"/>
    <w:rsid w:val="000A24B0"/>
    <w:rsid w:val="000A2506"/>
    <w:rsid w:val="000A3103"/>
    <w:rsid w:val="000A35D1"/>
    <w:rsid w:val="000A37B6"/>
    <w:rsid w:val="000A3AB1"/>
    <w:rsid w:val="000A3BD6"/>
    <w:rsid w:val="000A3E1F"/>
    <w:rsid w:val="000A3F0D"/>
    <w:rsid w:val="000A4044"/>
    <w:rsid w:val="000A435F"/>
    <w:rsid w:val="000A4885"/>
    <w:rsid w:val="000A4FAE"/>
    <w:rsid w:val="000A5162"/>
    <w:rsid w:val="000A533A"/>
    <w:rsid w:val="000A5C96"/>
    <w:rsid w:val="000A6959"/>
    <w:rsid w:val="000A6A31"/>
    <w:rsid w:val="000A6BAD"/>
    <w:rsid w:val="000A6DDC"/>
    <w:rsid w:val="000A76B6"/>
    <w:rsid w:val="000A7947"/>
    <w:rsid w:val="000B0B9B"/>
    <w:rsid w:val="000B0C61"/>
    <w:rsid w:val="000B0E19"/>
    <w:rsid w:val="000B1271"/>
    <w:rsid w:val="000B1AAB"/>
    <w:rsid w:val="000B1FF3"/>
    <w:rsid w:val="000B2480"/>
    <w:rsid w:val="000B256F"/>
    <w:rsid w:val="000B2704"/>
    <w:rsid w:val="000B2D31"/>
    <w:rsid w:val="000B2FDB"/>
    <w:rsid w:val="000B31E7"/>
    <w:rsid w:val="000B375D"/>
    <w:rsid w:val="000B3808"/>
    <w:rsid w:val="000B3A1B"/>
    <w:rsid w:val="000B3ADB"/>
    <w:rsid w:val="000B3DF7"/>
    <w:rsid w:val="000B4154"/>
    <w:rsid w:val="000B44D4"/>
    <w:rsid w:val="000B484D"/>
    <w:rsid w:val="000B48EF"/>
    <w:rsid w:val="000B4ABF"/>
    <w:rsid w:val="000B5C23"/>
    <w:rsid w:val="000B6C12"/>
    <w:rsid w:val="000B7162"/>
    <w:rsid w:val="000B794A"/>
    <w:rsid w:val="000C024A"/>
    <w:rsid w:val="000C0768"/>
    <w:rsid w:val="000C0A5A"/>
    <w:rsid w:val="000C0B15"/>
    <w:rsid w:val="000C112B"/>
    <w:rsid w:val="000C15C6"/>
    <w:rsid w:val="000C1896"/>
    <w:rsid w:val="000C1FF8"/>
    <w:rsid w:val="000C2285"/>
    <w:rsid w:val="000C22C7"/>
    <w:rsid w:val="000C24FD"/>
    <w:rsid w:val="000C2580"/>
    <w:rsid w:val="000C27B4"/>
    <w:rsid w:val="000C31D7"/>
    <w:rsid w:val="000C3AAC"/>
    <w:rsid w:val="000C3B9A"/>
    <w:rsid w:val="000C4344"/>
    <w:rsid w:val="000C5CA1"/>
    <w:rsid w:val="000C5FAE"/>
    <w:rsid w:val="000C63C0"/>
    <w:rsid w:val="000C6E0A"/>
    <w:rsid w:val="000C78E0"/>
    <w:rsid w:val="000C7CBD"/>
    <w:rsid w:val="000C7F8E"/>
    <w:rsid w:val="000D02B1"/>
    <w:rsid w:val="000D0682"/>
    <w:rsid w:val="000D076B"/>
    <w:rsid w:val="000D0C83"/>
    <w:rsid w:val="000D0EE8"/>
    <w:rsid w:val="000D0EEA"/>
    <w:rsid w:val="000D1FAD"/>
    <w:rsid w:val="000D2264"/>
    <w:rsid w:val="000D2602"/>
    <w:rsid w:val="000D2AC2"/>
    <w:rsid w:val="000D2E6A"/>
    <w:rsid w:val="000D2F2E"/>
    <w:rsid w:val="000D327A"/>
    <w:rsid w:val="000D338A"/>
    <w:rsid w:val="000D4529"/>
    <w:rsid w:val="000D485B"/>
    <w:rsid w:val="000D4F7F"/>
    <w:rsid w:val="000D4FC8"/>
    <w:rsid w:val="000D51E5"/>
    <w:rsid w:val="000D5362"/>
    <w:rsid w:val="000D5373"/>
    <w:rsid w:val="000D5A23"/>
    <w:rsid w:val="000D5EC0"/>
    <w:rsid w:val="000D6308"/>
    <w:rsid w:val="000D632B"/>
    <w:rsid w:val="000D647F"/>
    <w:rsid w:val="000D67ED"/>
    <w:rsid w:val="000D6830"/>
    <w:rsid w:val="000D69FE"/>
    <w:rsid w:val="000D6A50"/>
    <w:rsid w:val="000D7AEF"/>
    <w:rsid w:val="000D7E5C"/>
    <w:rsid w:val="000E07E6"/>
    <w:rsid w:val="000E12EF"/>
    <w:rsid w:val="000E132A"/>
    <w:rsid w:val="000E1514"/>
    <w:rsid w:val="000E154B"/>
    <w:rsid w:val="000E1839"/>
    <w:rsid w:val="000E1896"/>
    <w:rsid w:val="000E1D16"/>
    <w:rsid w:val="000E1F72"/>
    <w:rsid w:val="000E2297"/>
    <w:rsid w:val="000E244E"/>
    <w:rsid w:val="000E26B3"/>
    <w:rsid w:val="000E2EE1"/>
    <w:rsid w:val="000E412C"/>
    <w:rsid w:val="000E4145"/>
    <w:rsid w:val="000E44D7"/>
    <w:rsid w:val="000E4EE1"/>
    <w:rsid w:val="000E56E4"/>
    <w:rsid w:val="000E5A57"/>
    <w:rsid w:val="000E5C4D"/>
    <w:rsid w:val="000E5FEF"/>
    <w:rsid w:val="000E60D3"/>
    <w:rsid w:val="000E6153"/>
    <w:rsid w:val="000E625D"/>
    <w:rsid w:val="000E68DB"/>
    <w:rsid w:val="000E6C24"/>
    <w:rsid w:val="000E72EE"/>
    <w:rsid w:val="000E7437"/>
    <w:rsid w:val="000E7515"/>
    <w:rsid w:val="000E75D0"/>
    <w:rsid w:val="000E763B"/>
    <w:rsid w:val="000F042B"/>
    <w:rsid w:val="000F0552"/>
    <w:rsid w:val="000F06AD"/>
    <w:rsid w:val="000F0907"/>
    <w:rsid w:val="000F0CCB"/>
    <w:rsid w:val="000F0E3B"/>
    <w:rsid w:val="000F1116"/>
    <w:rsid w:val="000F1805"/>
    <w:rsid w:val="000F1B49"/>
    <w:rsid w:val="000F1EDA"/>
    <w:rsid w:val="000F27B5"/>
    <w:rsid w:val="000F29B9"/>
    <w:rsid w:val="000F2C3A"/>
    <w:rsid w:val="000F2C44"/>
    <w:rsid w:val="000F2EF1"/>
    <w:rsid w:val="000F32C2"/>
    <w:rsid w:val="000F3C4E"/>
    <w:rsid w:val="000F3CA9"/>
    <w:rsid w:val="000F3D14"/>
    <w:rsid w:val="000F4228"/>
    <w:rsid w:val="000F4232"/>
    <w:rsid w:val="000F4462"/>
    <w:rsid w:val="000F45A5"/>
    <w:rsid w:val="000F4733"/>
    <w:rsid w:val="000F48E8"/>
    <w:rsid w:val="000F54EC"/>
    <w:rsid w:val="000F58DB"/>
    <w:rsid w:val="000F5CE6"/>
    <w:rsid w:val="000F6087"/>
    <w:rsid w:val="000F674E"/>
    <w:rsid w:val="000F6886"/>
    <w:rsid w:val="000F699D"/>
    <w:rsid w:val="000F72F9"/>
    <w:rsid w:val="000F7787"/>
    <w:rsid w:val="000F7AE2"/>
    <w:rsid w:val="000F7D3F"/>
    <w:rsid w:val="000F7FB9"/>
    <w:rsid w:val="00100B60"/>
    <w:rsid w:val="00101014"/>
    <w:rsid w:val="0010119D"/>
    <w:rsid w:val="0010163B"/>
    <w:rsid w:val="00101742"/>
    <w:rsid w:val="00101778"/>
    <w:rsid w:val="00101C85"/>
    <w:rsid w:val="00101DE3"/>
    <w:rsid w:val="00102199"/>
    <w:rsid w:val="00103B8D"/>
    <w:rsid w:val="00103BBD"/>
    <w:rsid w:val="00103CCF"/>
    <w:rsid w:val="00103D04"/>
    <w:rsid w:val="00105153"/>
    <w:rsid w:val="00105238"/>
    <w:rsid w:val="00105371"/>
    <w:rsid w:val="0010569A"/>
    <w:rsid w:val="0010570D"/>
    <w:rsid w:val="001057D7"/>
    <w:rsid w:val="00105A82"/>
    <w:rsid w:val="00105A83"/>
    <w:rsid w:val="00105B61"/>
    <w:rsid w:val="0010622B"/>
    <w:rsid w:val="00106273"/>
    <w:rsid w:val="0010783F"/>
    <w:rsid w:val="0011000F"/>
    <w:rsid w:val="001109A9"/>
    <w:rsid w:val="001113BE"/>
    <w:rsid w:val="001113DB"/>
    <w:rsid w:val="00111641"/>
    <w:rsid w:val="001117BA"/>
    <w:rsid w:val="00111D6C"/>
    <w:rsid w:val="00112177"/>
    <w:rsid w:val="0011372B"/>
    <w:rsid w:val="0011394E"/>
    <w:rsid w:val="00113D2C"/>
    <w:rsid w:val="00114166"/>
    <w:rsid w:val="00114584"/>
    <w:rsid w:val="00114610"/>
    <w:rsid w:val="00114653"/>
    <w:rsid w:val="00114A00"/>
    <w:rsid w:val="00114A0A"/>
    <w:rsid w:val="00114ADD"/>
    <w:rsid w:val="001157BA"/>
    <w:rsid w:val="00115E46"/>
    <w:rsid w:val="001161D0"/>
    <w:rsid w:val="00116221"/>
    <w:rsid w:val="001162BC"/>
    <w:rsid w:val="001162DE"/>
    <w:rsid w:val="001166A4"/>
    <w:rsid w:val="001168FE"/>
    <w:rsid w:val="00116AED"/>
    <w:rsid w:val="00116DC3"/>
    <w:rsid w:val="00117AE9"/>
    <w:rsid w:val="001200FE"/>
    <w:rsid w:val="0012087A"/>
    <w:rsid w:val="00120A14"/>
    <w:rsid w:val="00120D05"/>
    <w:rsid w:val="00121655"/>
    <w:rsid w:val="00122186"/>
    <w:rsid w:val="00122851"/>
    <w:rsid w:val="001228C4"/>
    <w:rsid w:val="00122B32"/>
    <w:rsid w:val="0012344F"/>
    <w:rsid w:val="001234DC"/>
    <w:rsid w:val="00123548"/>
    <w:rsid w:val="0012359B"/>
    <w:rsid w:val="0012360E"/>
    <w:rsid w:val="00123627"/>
    <w:rsid w:val="00123D96"/>
    <w:rsid w:val="00124160"/>
    <w:rsid w:val="001242E8"/>
    <w:rsid w:val="001244D6"/>
    <w:rsid w:val="00124638"/>
    <w:rsid w:val="00124698"/>
    <w:rsid w:val="0012490E"/>
    <w:rsid w:val="00124BC5"/>
    <w:rsid w:val="00124C35"/>
    <w:rsid w:val="00125296"/>
    <w:rsid w:val="001258DA"/>
    <w:rsid w:val="00125F94"/>
    <w:rsid w:val="00126566"/>
    <w:rsid w:val="00126AAD"/>
    <w:rsid w:val="0012711B"/>
    <w:rsid w:val="00127192"/>
    <w:rsid w:val="00127B85"/>
    <w:rsid w:val="00127C66"/>
    <w:rsid w:val="001302F9"/>
    <w:rsid w:val="00130492"/>
    <w:rsid w:val="001304E7"/>
    <w:rsid w:val="00130FAA"/>
    <w:rsid w:val="00131163"/>
    <w:rsid w:val="001314F4"/>
    <w:rsid w:val="001317E5"/>
    <w:rsid w:val="00131849"/>
    <w:rsid w:val="001318A4"/>
    <w:rsid w:val="0013254A"/>
    <w:rsid w:val="00132C39"/>
    <w:rsid w:val="00133078"/>
    <w:rsid w:val="0013342F"/>
    <w:rsid w:val="00133FC9"/>
    <w:rsid w:val="0013456B"/>
    <w:rsid w:val="00134A0F"/>
    <w:rsid w:val="001351AB"/>
    <w:rsid w:val="0013530F"/>
    <w:rsid w:val="00135413"/>
    <w:rsid w:val="0013575C"/>
    <w:rsid w:val="00136210"/>
    <w:rsid w:val="00136615"/>
    <w:rsid w:val="00136944"/>
    <w:rsid w:val="00137213"/>
    <w:rsid w:val="001372C7"/>
    <w:rsid w:val="00137725"/>
    <w:rsid w:val="001378E5"/>
    <w:rsid w:val="00137DA2"/>
    <w:rsid w:val="001402CD"/>
    <w:rsid w:val="00140923"/>
    <w:rsid w:val="0014099D"/>
    <w:rsid w:val="00140DA6"/>
    <w:rsid w:val="00140FDE"/>
    <w:rsid w:val="0014120D"/>
    <w:rsid w:val="001417F7"/>
    <w:rsid w:val="001427DC"/>
    <w:rsid w:val="001429B4"/>
    <w:rsid w:val="00142B24"/>
    <w:rsid w:val="00142C12"/>
    <w:rsid w:val="00142F7A"/>
    <w:rsid w:val="0014352D"/>
    <w:rsid w:val="001437AD"/>
    <w:rsid w:val="0014384C"/>
    <w:rsid w:val="00143904"/>
    <w:rsid w:val="00143F25"/>
    <w:rsid w:val="0014431B"/>
    <w:rsid w:val="0014454A"/>
    <w:rsid w:val="001453E8"/>
    <w:rsid w:val="001457BA"/>
    <w:rsid w:val="001458A3"/>
    <w:rsid w:val="00145AEA"/>
    <w:rsid w:val="00145B24"/>
    <w:rsid w:val="00146497"/>
    <w:rsid w:val="001468AF"/>
    <w:rsid w:val="00146AEB"/>
    <w:rsid w:val="00146F3A"/>
    <w:rsid w:val="00147379"/>
    <w:rsid w:val="0014759C"/>
    <w:rsid w:val="00147914"/>
    <w:rsid w:val="0015005B"/>
    <w:rsid w:val="001500A3"/>
    <w:rsid w:val="00150321"/>
    <w:rsid w:val="00150419"/>
    <w:rsid w:val="00151F5F"/>
    <w:rsid w:val="00152363"/>
    <w:rsid w:val="00153389"/>
    <w:rsid w:val="001533A0"/>
    <w:rsid w:val="001535CA"/>
    <w:rsid w:val="00153F55"/>
    <w:rsid w:val="001544FC"/>
    <w:rsid w:val="0015473D"/>
    <w:rsid w:val="00154743"/>
    <w:rsid w:val="001548E4"/>
    <w:rsid w:val="00154DD5"/>
    <w:rsid w:val="00154DE3"/>
    <w:rsid w:val="00154E5C"/>
    <w:rsid w:val="001554C7"/>
    <w:rsid w:val="00155BEE"/>
    <w:rsid w:val="00155DA4"/>
    <w:rsid w:val="001567A8"/>
    <w:rsid w:val="001567C3"/>
    <w:rsid w:val="00156D08"/>
    <w:rsid w:val="001571A2"/>
    <w:rsid w:val="00157337"/>
    <w:rsid w:val="0015772B"/>
    <w:rsid w:val="00160076"/>
    <w:rsid w:val="001605CE"/>
    <w:rsid w:val="0016190A"/>
    <w:rsid w:val="00161AD2"/>
    <w:rsid w:val="00161C12"/>
    <w:rsid w:val="00162018"/>
    <w:rsid w:val="0016246F"/>
    <w:rsid w:val="0016338D"/>
    <w:rsid w:val="00163455"/>
    <w:rsid w:val="0016375B"/>
    <w:rsid w:val="00163EA5"/>
    <w:rsid w:val="00164729"/>
    <w:rsid w:val="00164D63"/>
    <w:rsid w:val="00165300"/>
    <w:rsid w:val="00165966"/>
    <w:rsid w:val="00165DF3"/>
    <w:rsid w:val="00166310"/>
    <w:rsid w:val="00166549"/>
    <w:rsid w:val="00166E76"/>
    <w:rsid w:val="00167319"/>
    <w:rsid w:val="00167992"/>
    <w:rsid w:val="00167BF3"/>
    <w:rsid w:val="00170035"/>
    <w:rsid w:val="00170060"/>
    <w:rsid w:val="0017028E"/>
    <w:rsid w:val="00170F6A"/>
    <w:rsid w:val="001713ED"/>
    <w:rsid w:val="001718A4"/>
    <w:rsid w:val="001719DB"/>
    <w:rsid w:val="00171B8D"/>
    <w:rsid w:val="00171CDD"/>
    <w:rsid w:val="00171E88"/>
    <w:rsid w:val="0017242F"/>
    <w:rsid w:val="0017243C"/>
    <w:rsid w:val="00172864"/>
    <w:rsid w:val="001728A7"/>
    <w:rsid w:val="00172B19"/>
    <w:rsid w:val="00172BAA"/>
    <w:rsid w:val="00173046"/>
    <w:rsid w:val="001730CC"/>
    <w:rsid w:val="0017322A"/>
    <w:rsid w:val="001734E4"/>
    <w:rsid w:val="0017380E"/>
    <w:rsid w:val="00173AEB"/>
    <w:rsid w:val="00173B0F"/>
    <w:rsid w:val="00173D51"/>
    <w:rsid w:val="00173EE9"/>
    <w:rsid w:val="0017407F"/>
    <w:rsid w:val="00174157"/>
    <w:rsid w:val="001747E0"/>
    <w:rsid w:val="00174D7E"/>
    <w:rsid w:val="00174DFB"/>
    <w:rsid w:val="0017525D"/>
    <w:rsid w:val="001754D8"/>
    <w:rsid w:val="00175C4B"/>
    <w:rsid w:val="00175FE7"/>
    <w:rsid w:val="0017642E"/>
    <w:rsid w:val="0017653A"/>
    <w:rsid w:val="00176F89"/>
    <w:rsid w:val="001771C2"/>
    <w:rsid w:val="0017769F"/>
    <w:rsid w:val="00177ADA"/>
    <w:rsid w:val="00177B3C"/>
    <w:rsid w:val="00177D9A"/>
    <w:rsid w:val="001800B4"/>
    <w:rsid w:val="00180CD7"/>
    <w:rsid w:val="001811FC"/>
    <w:rsid w:val="001819DB"/>
    <w:rsid w:val="00181C65"/>
    <w:rsid w:val="00182230"/>
    <w:rsid w:val="00182AE7"/>
    <w:rsid w:val="001834A3"/>
    <w:rsid w:val="00183E0C"/>
    <w:rsid w:val="0018467A"/>
    <w:rsid w:val="00184C31"/>
    <w:rsid w:val="001851DD"/>
    <w:rsid w:val="001858AB"/>
    <w:rsid w:val="00185AD5"/>
    <w:rsid w:val="00185C28"/>
    <w:rsid w:val="00185EF8"/>
    <w:rsid w:val="00185EFE"/>
    <w:rsid w:val="00186728"/>
    <w:rsid w:val="00187487"/>
    <w:rsid w:val="00187542"/>
    <w:rsid w:val="00187AE6"/>
    <w:rsid w:val="00187F9F"/>
    <w:rsid w:val="0019062C"/>
    <w:rsid w:val="00190742"/>
    <w:rsid w:val="001908BC"/>
    <w:rsid w:val="00190978"/>
    <w:rsid w:val="0019136C"/>
    <w:rsid w:val="001913C6"/>
    <w:rsid w:val="00191CB0"/>
    <w:rsid w:val="00191D49"/>
    <w:rsid w:val="00191FB9"/>
    <w:rsid w:val="0019218F"/>
    <w:rsid w:val="00192A91"/>
    <w:rsid w:val="0019317B"/>
    <w:rsid w:val="00193211"/>
    <w:rsid w:val="00193D68"/>
    <w:rsid w:val="00193F43"/>
    <w:rsid w:val="001943AC"/>
    <w:rsid w:val="001947A9"/>
    <w:rsid w:val="00194979"/>
    <w:rsid w:val="00194BC7"/>
    <w:rsid w:val="00194FF9"/>
    <w:rsid w:val="001951DF"/>
    <w:rsid w:val="00195655"/>
    <w:rsid w:val="00195E8A"/>
    <w:rsid w:val="00196477"/>
    <w:rsid w:val="00196482"/>
    <w:rsid w:val="00196635"/>
    <w:rsid w:val="0019672F"/>
    <w:rsid w:val="0019763B"/>
    <w:rsid w:val="00197F38"/>
    <w:rsid w:val="0019F172"/>
    <w:rsid w:val="001A0256"/>
    <w:rsid w:val="001A03C4"/>
    <w:rsid w:val="001A04F2"/>
    <w:rsid w:val="001A131B"/>
    <w:rsid w:val="001A1582"/>
    <w:rsid w:val="001A15B6"/>
    <w:rsid w:val="001A17C2"/>
    <w:rsid w:val="001A1B56"/>
    <w:rsid w:val="001A1BF1"/>
    <w:rsid w:val="001A1D22"/>
    <w:rsid w:val="001A1D9C"/>
    <w:rsid w:val="001A234F"/>
    <w:rsid w:val="001A2464"/>
    <w:rsid w:val="001A2562"/>
    <w:rsid w:val="001A2B74"/>
    <w:rsid w:val="001A36F0"/>
    <w:rsid w:val="001A3964"/>
    <w:rsid w:val="001A4D30"/>
    <w:rsid w:val="001A5022"/>
    <w:rsid w:val="001A537D"/>
    <w:rsid w:val="001A55C6"/>
    <w:rsid w:val="001A5909"/>
    <w:rsid w:val="001A597C"/>
    <w:rsid w:val="001A59FF"/>
    <w:rsid w:val="001A6437"/>
    <w:rsid w:val="001A669B"/>
    <w:rsid w:val="001A6C67"/>
    <w:rsid w:val="001A6D20"/>
    <w:rsid w:val="001A6FE3"/>
    <w:rsid w:val="001A762D"/>
    <w:rsid w:val="001A7B8D"/>
    <w:rsid w:val="001A7BC1"/>
    <w:rsid w:val="001B0165"/>
    <w:rsid w:val="001B03A6"/>
    <w:rsid w:val="001B09F7"/>
    <w:rsid w:val="001B0A5A"/>
    <w:rsid w:val="001B0BEA"/>
    <w:rsid w:val="001B15B2"/>
    <w:rsid w:val="001B20C1"/>
    <w:rsid w:val="001B263B"/>
    <w:rsid w:val="001B2ABF"/>
    <w:rsid w:val="001B2C97"/>
    <w:rsid w:val="001B2E76"/>
    <w:rsid w:val="001B417A"/>
    <w:rsid w:val="001B4313"/>
    <w:rsid w:val="001B4744"/>
    <w:rsid w:val="001B4B8D"/>
    <w:rsid w:val="001B4E52"/>
    <w:rsid w:val="001B5168"/>
    <w:rsid w:val="001B571B"/>
    <w:rsid w:val="001B5B1A"/>
    <w:rsid w:val="001B5CB3"/>
    <w:rsid w:val="001B5F89"/>
    <w:rsid w:val="001B6040"/>
    <w:rsid w:val="001B6420"/>
    <w:rsid w:val="001B654B"/>
    <w:rsid w:val="001B6B63"/>
    <w:rsid w:val="001B739B"/>
    <w:rsid w:val="001B75EC"/>
    <w:rsid w:val="001B7752"/>
    <w:rsid w:val="001B77F8"/>
    <w:rsid w:val="001B7A95"/>
    <w:rsid w:val="001B7BD8"/>
    <w:rsid w:val="001C0B56"/>
    <w:rsid w:val="001C148F"/>
    <w:rsid w:val="001C1B36"/>
    <w:rsid w:val="001C1EEF"/>
    <w:rsid w:val="001C1FE1"/>
    <w:rsid w:val="001C2578"/>
    <w:rsid w:val="001C25C9"/>
    <w:rsid w:val="001C2F53"/>
    <w:rsid w:val="001C3309"/>
    <w:rsid w:val="001C34A8"/>
    <w:rsid w:val="001C35A4"/>
    <w:rsid w:val="001C3813"/>
    <w:rsid w:val="001C3857"/>
    <w:rsid w:val="001C3888"/>
    <w:rsid w:val="001C3890"/>
    <w:rsid w:val="001C3926"/>
    <w:rsid w:val="001C3F05"/>
    <w:rsid w:val="001C403F"/>
    <w:rsid w:val="001C410A"/>
    <w:rsid w:val="001C4119"/>
    <w:rsid w:val="001C4E79"/>
    <w:rsid w:val="001C524C"/>
    <w:rsid w:val="001C59E3"/>
    <w:rsid w:val="001C6B15"/>
    <w:rsid w:val="001C6C50"/>
    <w:rsid w:val="001C6F70"/>
    <w:rsid w:val="001C737D"/>
    <w:rsid w:val="001C73BC"/>
    <w:rsid w:val="001C7495"/>
    <w:rsid w:val="001C7B56"/>
    <w:rsid w:val="001C7E24"/>
    <w:rsid w:val="001D0078"/>
    <w:rsid w:val="001D06A7"/>
    <w:rsid w:val="001D075B"/>
    <w:rsid w:val="001D09B2"/>
    <w:rsid w:val="001D1272"/>
    <w:rsid w:val="001D12F9"/>
    <w:rsid w:val="001D13A3"/>
    <w:rsid w:val="001D1675"/>
    <w:rsid w:val="001D1A81"/>
    <w:rsid w:val="001D1E57"/>
    <w:rsid w:val="001D26CF"/>
    <w:rsid w:val="001D2860"/>
    <w:rsid w:val="001D29D9"/>
    <w:rsid w:val="001D2B17"/>
    <w:rsid w:val="001D2B3F"/>
    <w:rsid w:val="001D2FB2"/>
    <w:rsid w:val="001D31EB"/>
    <w:rsid w:val="001D34FF"/>
    <w:rsid w:val="001D36F6"/>
    <w:rsid w:val="001D3A15"/>
    <w:rsid w:val="001D3AA5"/>
    <w:rsid w:val="001D3AD3"/>
    <w:rsid w:val="001D4284"/>
    <w:rsid w:val="001D4586"/>
    <w:rsid w:val="001D459E"/>
    <w:rsid w:val="001D4B92"/>
    <w:rsid w:val="001D4F7D"/>
    <w:rsid w:val="001D51A6"/>
    <w:rsid w:val="001D543D"/>
    <w:rsid w:val="001D6008"/>
    <w:rsid w:val="001D6B95"/>
    <w:rsid w:val="001D7027"/>
    <w:rsid w:val="001D7461"/>
    <w:rsid w:val="001D7B3C"/>
    <w:rsid w:val="001D7FBA"/>
    <w:rsid w:val="001E02ED"/>
    <w:rsid w:val="001E0478"/>
    <w:rsid w:val="001E050B"/>
    <w:rsid w:val="001E0561"/>
    <w:rsid w:val="001E0842"/>
    <w:rsid w:val="001E08CC"/>
    <w:rsid w:val="001E0F3F"/>
    <w:rsid w:val="001E1193"/>
    <w:rsid w:val="001E1202"/>
    <w:rsid w:val="001E1B6D"/>
    <w:rsid w:val="001E20CD"/>
    <w:rsid w:val="001E23E0"/>
    <w:rsid w:val="001E2402"/>
    <w:rsid w:val="001E2675"/>
    <w:rsid w:val="001E2C36"/>
    <w:rsid w:val="001E2CD3"/>
    <w:rsid w:val="001E30AF"/>
    <w:rsid w:val="001E3292"/>
    <w:rsid w:val="001E32CF"/>
    <w:rsid w:val="001E409F"/>
    <w:rsid w:val="001E40E9"/>
    <w:rsid w:val="001E40FB"/>
    <w:rsid w:val="001E4863"/>
    <w:rsid w:val="001E4C38"/>
    <w:rsid w:val="001E4E8A"/>
    <w:rsid w:val="001E50F3"/>
    <w:rsid w:val="001E54F7"/>
    <w:rsid w:val="001E5527"/>
    <w:rsid w:val="001E55A7"/>
    <w:rsid w:val="001E5B69"/>
    <w:rsid w:val="001E5E06"/>
    <w:rsid w:val="001E6098"/>
    <w:rsid w:val="001E62DF"/>
    <w:rsid w:val="001E67C6"/>
    <w:rsid w:val="001E67E6"/>
    <w:rsid w:val="001E6CDB"/>
    <w:rsid w:val="001E735E"/>
    <w:rsid w:val="001E76CC"/>
    <w:rsid w:val="001F0219"/>
    <w:rsid w:val="001F021E"/>
    <w:rsid w:val="001F0601"/>
    <w:rsid w:val="001F0701"/>
    <w:rsid w:val="001F14CA"/>
    <w:rsid w:val="001F15AC"/>
    <w:rsid w:val="001F1615"/>
    <w:rsid w:val="001F1DE2"/>
    <w:rsid w:val="001F1EA0"/>
    <w:rsid w:val="001F2499"/>
    <w:rsid w:val="001F2531"/>
    <w:rsid w:val="001F2AFB"/>
    <w:rsid w:val="001F2B21"/>
    <w:rsid w:val="001F323F"/>
    <w:rsid w:val="001F32A9"/>
    <w:rsid w:val="001F34E0"/>
    <w:rsid w:val="001F35E0"/>
    <w:rsid w:val="001F3D0C"/>
    <w:rsid w:val="001F3DF9"/>
    <w:rsid w:val="001F3F29"/>
    <w:rsid w:val="001F414F"/>
    <w:rsid w:val="001F41AC"/>
    <w:rsid w:val="001F41BD"/>
    <w:rsid w:val="001F448F"/>
    <w:rsid w:val="001F47FB"/>
    <w:rsid w:val="001F5192"/>
    <w:rsid w:val="001F58F1"/>
    <w:rsid w:val="001F5E4F"/>
    <w:rsid w:val="001F5E5C"/>
    <w:rsid w:val="001F6690"/>
    <w:rsid w:val="001F673D"/>
    <w:rsid w:val="001F6B0E"/>
    <w:rsid w:val="001F706E"/>
    <w:rsid w:val="001F7696"/>
    <w:rsid w:val="001F76D9"/>
    <w:rsid w:val="001F7A5F"/>
    <w:rsid w:val="001F7F55"/>
    <w:rsid w:val="002008DA"/>
    <w:rsid w:val="002009A9"/>
    <w:rsid w:val="00201070"/>
    <w:rsid w:val="0020107F"/>
    <w:rsid w:val="00201308"/>
    <w:rsid w:val="00201526"/>
    <w:rsid w:val="0020152E"/>
    <w:rsid w:val="0020173A"/>
    <w:rsid w:val="00201C42"/>
    <w:rsid w:val="00201DD7"/>
    <w:rsid w:val="00201E2C"/>
    <w:rsid w:val="00202075"/>
    <w:rsid w:val="0020219B"/>
    <w:rsid w:val="00202321"/>
    <w:rsid w:val="0020237F"/>
    <w:rsid w:val="00203227"/>
    <w:rsid w:val="002033CD"/>
    <w:rsid w:val="0020370B"/>
    <w:rsid w:val="002039DF"/>
    <w:rsid w:val="00203BC4"/>
    <w:rsid w:val="00203C59"/>
    <w:rsid w:val="002042B8"/>
    <w:rsid w:val="002045DF"/>
    <w:rsid w:val="00204EED"/>
    <w:rsid w:val="00205077"/>
    <w:rsid w:val="0020510E"/>
    <w:rsid w:val="0020525C"/>
    <w:rsid w:val="002056AF"/>
    <w:rsid w:val="0020588A"/>
    <w:rsid w:val="002058CE"/>
    <w:rsid w:val="00205E40"/>
    <w:rsid w:val="0020627E"/>
    <w:rsid w:val="00206A97"/>
    <w:rsid w:val="00206E60"/>
    <w:rsid w:val="00206FF0"/>
    <w:rsid w:val="002072E1"/>
    <w:rsid w:val="00207CA0"/>
    <w:rsid w:val="0021074A"/>
    <w:rsid w:val="00210B5A"/>
    <w:rsid w:val="00210D02"/>
    <w:rsid w:val="00210E90"/>
    <w:rsid w:val="00211495"/>
    <w:rsid w:val="00211581"/>
    <w:rsid w:val="00211E08"/>
    <w:rsid w:val="0021244A"/>
    <w:rsid w:val="00212AAD"/>
    <w:rsid w:val="00212B0D"/>
    <w:rsid w:val="002135DF"/>
    <w:rsid w:val="002138B9"/>
    <w:rsid w:val="002140BE"/>
    <w:rsid w:val="00214353"/>
    <w:rsid w:val="00214CCB"/>
    <w:rsid w:val="002154A2"/>
    <w:rsid w:val="002154B2"/>
    <w:rsid w:val="002154D6"/>
    <w:rsid w:val="0021573F"/>
    <w:rsid w:val="00215751"/>
    <w:rsid w:val="00215766"/>
    <w:rsid w:val="00215B10"/>
    <w:rsid w:val="0021642E"/>
    <w:rsid w:val="002166D7"/>
    <w:rsid w:val="002167D7"/>
    <w:rsid w:val="0021693B"/>
    <w:rsid w:val="00216BC9"/>
    <w:rsid w:val="00216C55"/>
    <w:rsid w:val="00216C74"/>
    <w:rsid w:val="00216D27"/>
    <w:rsid w:val="00217872"/>
    <w:rsid w:val="002179FE"/>
    <w:rsid w:val="00220439"/>
    <w:rsid w:val="0022104C"/>
    <w:rsid w:val="00221BED"/>
    <w:rsid w:val="00222C3F"/>
    <w:rsid w:val="00222FEE"/>
    <w:rsid w:val="0022366B"/>
    <w:rsid w:val="00223742"/>
    <w:rsid w:val="00223A0D"/>
    <w:rsid w:val="00224195"/>
    <w:rsid w:val="002242E4"/>
    <w:rsid w:val="002243A0"/>
    <w:rsid w:val="002246EF"/>
    <w:rsid w:val="00224EF2"/>
    <w:rsid w:val="0022536D"/>
    <w:rsid w:val="00226192"/>
    <w:rsid w:val="002261F7"/>
    <w:rsid w:val="0022653E"/>
    <w:rsid w:val="00226762"/>
    <w:rsid w:val="002269A5"/>
    <w:rsid w:val="00226F75"/>
    <w:rsid w:val="002271A3"/>
    <w:rsid w:val="00227354"/>
    <w:rsid w:val="00227381"/>
    <w:rsid w:val="002275FC"/>
    <w:rsid w:val="00227C89"/>
    <w:rsid w:val="00230B7F"/>
    <w:rsid w:val="00230C07"/>
    <w:rsid w:val="00230D42"/>
    <w:rsid w:val="00230EE3"/>
    <w:rsid w:val="00231324"/>
    <w:rsid w:val="0023165E"/>
    <w:rsid w:val="00231663"/>
    <w:rsid w:val="00231909"/>
    <w:rsid w:val="002325D4"/>
    <w:rsid w:val="00232FAB"/>
    <w:rsid w:val="00233356"/>
    <w:rsid w:val="00233535"/>
    <w:rsid w:val="00233954"/>
    <w:rsid w:val="00233A7F"/>
    <w:rsid w:val="00233CC6"/>
    <w:rsid w:val="0023449C"/>
    <w:rsid w:val="002348B9"/>
    <w:rsid w:val="0023490D"/>
    <w:rsid w:val="00234B36"/>
    <w:rsid w:val="00235451"/>
    <w:rsid w:val="0023582A"/>
    <w:rsid w:val="0023589F"/>
    <w:rsid w:val="00235F6A"/>
    <w:rsid w:val="00236BD0"/>
    <w:rsid w:val="00236E7B"/>
    <w:rsid w:val="0023740E"/>
    <w:rsid w:val="00237474"/>
    <w:rsid w:val="002379C1"/>
    <w:rsid w:val="00237B1F"/>
    <w:rsid w:val="00237C1F"/>
    <w:rsid w:val="00237F2F"/>
    <w:rsid w:val="00237F84"/>
    <w:rsid w:val="00237FF8"/>
    <w:rsid w:val="0024001A"/>
    <w:rsid w:val="002405AD"/>
    <w:rsid w:val="002407B9"/>
    <w:rsid w:val="00240EAB"/>
    <w:rsid w:val="00240EB0"/>
    <w:rsid w:val="0024109B"/>
    <w:rsid w:val="002410A5"/>
    <w:rsid w:val="00241421"/>
    <w:rsid w:val="00241CD1"/>
    <w:rsid w:val="002420DD"/>
    <w:rsid w:val="0024241D"/>
    <w:rsid w:val="00242B7F"/>
    <w:rsid w:val="00242BD7"/>
    <w:rsid w:val="00242FA3"/>
    <w:rsid w:val="002430E0"/>
    <w:rsid w:val="0024468C"/>
    <w:rsid w:val="002451C8"/>
    <w:rsid w:val="0024537A"/>
    <w:rsid w:val="00245790"/>
    <w:rsid w:val="002458F0"/>
    <w:rsid w:val="00245E7D"/>
    <w:rsid w:val="00246EC8"/>
    <w:rsid w:val="002473D0"/>
    <w:rsid w:val="00247DB9"/>
    <w:rsid w:val="00247F6D"/>
    <w:rsid w:val="002505C8"/>
    <w:rsid w:val="00251034"/>
    <w:rsid w:val="0025105D"/>
    <w:rsid w:val="00251D16"/>
    <w:rsid w:val="002520B0"/>
    <w:rsid w:val="00252C65"/>
    <w:rsid w:val="00252C85"/>
    <w:rsid w:val="0025352D"/>
    <w:rsid w:val="00253C03"/>
    <w:rsid w:val="00253E20"/>
    <w:rsid w:val="00253F90"/>
    <w:rsid w:val="002542B1"/>
    <w:rsid w:val="002548ED"/>
    <w:rsid w:val="0025513E"/>
    <w:rsid w:val="002551FE"/>
    <w:rsid w:val="002552B9"/>
    <w:rsid w:val="00255941"/>
    <w:rsid w:val="00255E5A"/>
    <w:rsid w:val="00256562"/>
    <w:rsid w:val="00257125"/>
    <w:rsid w:val="00257AB4"/>
    <w:rsid w:val="00257D3E"/>
    <w:rsid w:val="00257EC4"/>
    <w:rsid w:val="0026092B"/>
    <w:rsid w:val="0026109F"/>
    <w:rsid w:val="00262535"/>
    <w:rsid w:val="002627F9"/>
    <w:rsid w:val="00262C30"/>
    <w:rsid w:val="00263405"/>
    <w:rsid w:val="002634BB"/>
    <w:rsid w:val="0026388E"/>
    <w:rsid w:val="002639EB"/>
    <w:rsid w:val="00263AD6"/>
    <w:rsid w:val="00263CB3"/>
    <w:rsid w:val="00263CBE"/>
    <w:rsid w:val="00263F17"/>
    <w:rsid w:val="002641E4"/>
    <w:rsid w:val="0026461A"/>
    <w:rsid w:val="00264A8C"/>
    <w:rsid w:val="00264CF3"/>
    <w:rsid w:val="00264ED8"/>
    <w:rsid w:val="002651FA"/>
    <w:rsid w:val="00265472"/>
    <w:rsid w:val="0026557F"/>
    <w:rsid w:val="002658FD"/>
    <w:rsid w:val="00265E47"/>
    <w:rsid w:val="0026651F"/>
    <w:rsid w:val="00266F96"/>
    <w:rsid w:val="00267438"/>
    <w:rsid w:val="0026776A"/>
    <w:rsid w:val="00267A37"/>
    <w:rsid w:val="00267B0A"/>
    <w:rsid w:val="00270766"/>
    <w:rsid w:val="002708FA"/>
    <w:rsid w:val="00270A76"/>
    <w:rsid w:val="002710F4"/>
    <w:rsid w:val="002711FE"/>
    <w:rsid w:val="00271551"/>
    <w:rsid w:val="00271729"/>
    <w:rsid w:val="0027263F"/>
    <w:rsid w:val="00272C57"/>
    <w:rsid w:val="00272ECB"/>
    <w:rsid w:val="00272FE9"/>
    <w:rsid w:val="002732FB"/>
    <w:rsid w:val="00274E15"/>
    <w:rsid w:val="00274FC8"/>
    <w:rsid w:val="00275011"/>
    <w:rsid w:val="0027536C"/>
    <w:rsid w:val="002755A2"/>
    <w:rsid w:val="0027599D"/>
    <w:rsid w:val="00276256"/>
    <w:rsid w:val="002765D5"/>
    <w:rsid w:val="00276A69"/>
    <w:rsid w:val="002775B9"/>
    <w:rsid w:val="00277827"/>
    <w:rsid w:val="002800A5"/>
    <w:rsid w:val="0028029D"/>
    <w:rsid w:val="0028062B"/>
    <w:rsid w:val="00280718"/>
    <w:rsid w:val="00280811"/>
    <w:rsid w:val="00280897"/>
    <w:rsid w:val="002808A1"/>
    <w:rsid w:val="0028091E"/>
    <w:rsid w:val="002809AC"/>
    <w:rsid w:val="00280CD0"/>
    <w:rsid w:val="00280CFD"/>
    <w:rsid w:val="00280E05"/>
    <w:rsid w:val="00280EF5"/>
    <w:rsid w:val="00281225"/>
    <w:rsid w:val="002813E0"/>
    <w:rsid w:val="0028150D"/>
    <w:rsid w:val="0028193D"/>
    <w:rsid w:val="00281D54"/>
    <w:rsid w:val="00281EA0"/>
    <w:rsid w:val="00282221"/>
    <w:rsid w:val="0028243B"/>
    <w:rsid w:val="002824A4"/>
    <w:rsid w:val="00282B90"/>
    <w:rsid w:val="00282EEA"/>
    <w:rsid w:val="00283255"/>
    <w:rsid w:val="00283D06"/>
    <w:rsid w:val="00284477"/>
    <w:rsid w:val="002849C4"/>
    <w:rsid w:val="00284B63"/>
    <w:rsid w:val="00284CBD"/>
    <w:rsid w:val="00284DED"/>
    <w:rsid w:val="00284FB4"/>
    <w:rsid w:val="002852CA"/>
    <w:rsid w:val="00285648"/>
    <w:rsid w:val="002857E1"/>
    <w:rsid w:val="00286DE1"/>
    <w:rsid w:val="00286E25"/>
    <w:rsid w:val="00286F55"/>
    <w:rsid w:val="00287F57"/>
    <w:rsid w:val="002900A1"/>
    <w:rsid w:val="00290174"/>
    <w:rsid w:val="00290DD3"/>
    <w:rsid w:val="00290FA7"/>
    <w:rsid w:val="0029134D"/>
    <w:rsid w:val="0029183F"/>
    <w:rsid w:val="00292BB9"/>
    <w:rsid w:val="00293B0B"/>
    <w:rsid w:val="00294236"/>
    <w:rsid w:val="0029459D"/>
    <w:rsid w:val="00294B9F"/>
    <w:rsid w:val="00294EE7"/>
    <w:rsid w:val="002951A1"/>
    <w:rsid w:val="0029562A"/>
    <w:rsid w:val="00295630"/>
    <w:rsid w:val="0029579C"/>
    <w:rsid w:val="00295FEB"/>
    <w:rsid w:val="00296473"/>
    <w:rsid w:val="0029657B"/>
    <w:rsid w:val="00296CD8"/>
    <w:rsid w:val="00296DAB"/>
    <w:rsid w:val="00296DB6"/>
    <w:rsid w:val="002973ED"/>
    <w:rsid w:val="00297AC3"/>
    <w:rsid w:val="002A017B"/>
    <w:rsid w:val="002A0180"/>
    <w:rsid w:val="002A0210"/>
    <w:rsid w:val="002A095E"/>
    <w:rsid w:val="002A0E2B"/>
    <w:rsid w:val="002A2153"/>
    <w:rsid w:val="002A2436"/>
    <w:rsid w:val="002A2CDD"/>
    <w:rsid w:val="002A2E7D"/>
    <w:rsid w:val="002A3501"/>
    <w:rsid w:val="002A3E1B"/>
    <w:rsid w:val="002A4379"/>
    <w:rsid w:val="002A46EB"/>
    <w:rsid w:val="002A475A"/>
    <w:rsid w:val="002A47BE"/>
    <w:rsid w:val="002A4B40"/>
    <w:rsid w:val="002A5347"/>
    <w:rsid w:val="002A6188"/>
    <w:rsid w:val="002A63B0"/>
    <w:rsid w:val="002A6601"/>
    <w:rsid w:val="002A6E69"/>
    <w:rsid w:val="002A7465"/>
    <w:rsid w:val="002A7910"/>
    <w:rsid w:val="002A7B8B"/>
    <w:rsid w:val="002A7D47"/>
    <w:rsid w:val="002B0081"/>
    <w:rsid w:val="002B011A"/>
    <w:rsid w:val="002B0E9A"/>
    <w:rsid w:val="002B1073"/>
    <w:rsid w:val="002B1B49"/>
    <w:rsid w:val="002B2396"/>
    <w:rsid w:val="002B2810"/>
    <w:rsid w:val="002B2A31"/>
    <w:rsid w:val="002B2C85"/>
    <w:rsid w:val="002B2DA8"/>
    <w:rsid w:val="002B3577"/>
    <w:rsid w:val="002B35A8"/>
    <w:rsid w:val="002B398B"/>
    <w:rsid w:val="002B3DFE"/>
    <w:rsid w:val="002B424E"/>
    <w:rsid w:val="002B43E6"/>
    <w:rsid w:val="002B456F"/>
    <w:rsid w:val="002B485C"/>
    <w:rsid w:val="002B4B69"/>
    <w:rsid w:val="002B4BCB"/>
    <w:rsid w:val="002B4D4E"/>
    <w:rsid w:val="002B5633"/>
    <w:rsid w:val="002B5C23"/>
    <w:rsid w:val="002B6A16"/>
    <w:rsid w:val="002B6B28"/>
    <w:rsid w:val="002B6E32"/>
    <w:rsid w:val="002B6E7C"/>
    <w:rsid w:val="002B6EB1"/>
    <w:rsid w:val="002B75A8"/>
    <w:rsid w:val="002B767B"/>
    <w:rsid w:val="002B7AFC"/>
    <w:rsid w:val="002B7E11"/>
    <w:rsid w:val="002C1BDA"/>
    <w:rsid w:val="002C1FF4"/>
    <w:rsid w:val="002C2367"/>
    <w:rsid w:val="002C2571"/>
    <w:rsid w:val="002C267B"/>
    <w:rsid w:val="002C2884"/>
    <w:rsid w:val="002C28BD"/>
    <w:rsid w:val="002C28FE"/>
    <w:rsid w:val="002C290C"/>
    <w:rsid w:val="002C3858"/>
    <w:rsid w:val="002C3888"/>
    <w:rsid w:val="002C3E4C"/>
    <w:rsid w:val="002C4151"/>
    <w:rsid w:val="002C45E3"/>
    <w:rsid w:val="002C463D"/>
    <w:rsid w:val="002C464A"/>
    <w:rsid w:val="002C524F"/>
    <w:rsid w:val="002C55C8"/>
    <w:rsid w:val="002C56D9"/>
    <w:rsid w:val="002C5ADC"/>
    <w:rsid w:val="002C6A8D"/>
    <w:rsid w:val="002C6F23"/>
    <w:rsid w:val="002C765E"/>
    <w:rsid w:val="002C779F"/>
    <w:rsid w:val="002C7C2A"/>
    <w:rsid w:val="002D0712"/>
    <w:rsid w:val="002D07D3"/>
    <w:rsid w:val="002D0D77"/>
    <w:rsid w:val="002D0FE0"/>
    <w:rsid w:val="002D134B"/>
    <w:rsid w:val="002D1CC3"/>
    <w:rsid w:val="002D2221"/>
    <w:rsid w:val="002D2B63"/>
    <w:rsid w:val="002D2E92"/>
    <w:rsid w:val="002D2EA2"/>
    <w:rsid w:val="002D3225"/>
    <w:rsid w:val="002D3BC6"/>
    <w:rsid w:val="002D3EA1"/>
    <w:rsid w:val="002D40CC"/>
    <w:rsid w:val="002D430B"/>
    <w:rsid w:val="002D4501"/>
    <w:rsid w:val="002D4621"/>
    <w:rsid w:val="002D478C"/>
    <w:rsid w:val="002D47F6"/>
    <w:rsid w:val="002D4FDF"/>
    <w:rsid w:val="002D5326"/>
    <w:rsid w:val="002D5481"/>
    <w:rsid w:val="002D5654"/>
    <w:rsid w:val="002D5717"/>
    <w:rsid w:val="002D5A81"/>
    <w:rsid w:val="002D5B6D"/>
    <w:rsid w:val="002D63E9"/>
    <w:rsid w:val="002D67B6"/>
    <w:rsid w:val="002D6A83"/>
    <w:rsid w:val="002D6B48"/>
    <w:rsid w:val="002D6F78"/>
    <w:rsid w:val="002D71AE"/>
    <w:rsid w:val="002D74AB"/>
    <w:rsid w:val="002D7533"/>
    <w:rsid w:val="002D7867"/>
    <w:rsid w:val="002E00BD"/>
    <w:rsid w:val="002E01E9"/>
    <w:rsid w:val="002E0340"/>
    <w:rsid w:val="002E067F"/>
    <w:rsid w:val="002E0E28"/>
    <w:rsid w:val="002E0E7D"/>
    <w:rsid w:val="002E0F8C"/>
    <w:rsid w:val="002E1C49"/>
    <w:rsid w:val="002E1CAF"/>
    <w:rsid w:val="002E1D59"/>
    <w:rsid w:val="002E2072"/>
    <w:rsid w:val="002E207B"/>
    <w:rsid w:val="002E2085"/>
    <w:rsid w:val="002E2C02"/>
    <w:rsid w:val="002E2FA3"/>
    <w:rsid w:val="002E3AB7"/>
    <w:rsid w:val="002E3C2C"/>
    <w:rsid w:val="002E3F0C"/>
    <w:rsid w:val="002E41E0"/>
    <w:rsid w:val="002E448E"/>
    <w:rsid w:val="002E4573"/>
    <w:rsid w:val="002E47CA"/>
    <w:rsid w:val="002E4842"/>
    <w:rsid w:val="002E5CF2"/>
    <w:rsid w:val="002E6323"/>
    <w:rsid w:val="002E633A"/>
    <w:rsid w:val="002E6898"/>
    <w:rsid w:val="002E6A99"/>
    <w:rsid w:val="002E6D43"/>
    <w:rsid w:val="002E6E5B"/>
    <w:rsid w:val="002E7064"/>
    <w:rsid w:val="002E739F"/>
    <w:rsid w:val="002E7AB9"/>
    <w:rsid w:val="002F0426"/>
    <w:rsid w:val="002F0767"/>
    <w:rsid w:val="002F1205"/>
    <w:rsid w:val="002F1962"/>
    <w:rsid w:val="002F1983"/>
    <w:rsid w:val="002F19D7"/>
    <w:rsid w:val="002F2142"/>
    <w:rsid w:val="002F22A6"/>
    <w:rsid w:val="002F2832"/>
    <w:rsid w:val="002F2EE3"/>
    <w:rsid w:val="002F2F4E"/>
    <w:rsid w:val="002F37B6"/>
    <w:rsid w:val="002F4019"/>
    <w:rsid w:val="002F48AA"/>
    <w:rsid w:val="002F496B"/>
    <w:rsid w:val="002F4B13"/>
    <w:rsid w:val="002F4E05"/>
    <w:rsid w:val="002F504C"/>
    <w:rsid w:val="002F5074"/>
    <w:rsid w:val="002F5125"/>
    <w:rsid w:val="002F5716"/>
    <w:rsid w:val="002F5A16"/>
    <w:rsid w:val="002F602C"/>
    <w:rsid w:val="002F604C"/>
    <w:rsid w:val="002F61A0"/>
    <w:rsid w:val="002F64D2"/>
    <w:rsid w:val="002F684C"/>
    <w:rsid w:val="002F6C7B"/>
    <w:rsid w:val="002F7200"/>
    <w:rsid w:val="002F742B"/>
    <w:rsid w:val="002F74B6"/>
    <w:rsid w:val="002F7BF2"/>
    <w:rsid w:val="002F7F28"/>
    <w:rsid w:val="003005E8"/>
    <w:rsid w:val="003006D1"/>
    <w:rsid w:val="003008C0"/>
    <w:rsid w:val="00300B5E"/>
    <w:rsid w:val="00300E56"/>
    <w:rsid w:val="003010F7"/>
    <w:rsid w:val="00301154"/>
    <w:rsid w:val="003012C0"/>
    <w:rsid w:val="003014B8"/>
    <w:rsid w:val="0030161C"/>
    <w:rsid w:val="00301D13"/>
    <w:rsid w:val="00301F42"/>
    <w:rsid w:val="00302714"/>
    <w:rsid w:val="003028AC"/>
    <w:rsid w:val="003034BC"/>
    <w:rsid w:val="0030446E"/>
    <w:rsid w:val="0030460F"/>
    <w:rsid w:val="003051E2"/>
    <w:rsid w:val="00305570"/>
    <w:rsid w:val="00305A71"/>
    <w:rsid w:val="003061B2"/>
    <w:rsid w:val="003068ED"/>
    <w:rsid w:val="00306B93"/>
    <w:rsid w:val="003070AE"/>
    <w:rsid w:val="00307347"/>
    <w:rsid w:val="0030757F"/>
    <w:rsid w:val="003075C0"/>
    <w:rsid w:val="0030767D"/>
    <w:rsid w:val="00307FB2"/>
    <w:rsid w:val="003104AD"/>
    <w:rsid w:val="00310593"/>
    <w:rsid w:val="003108F1"/>
    <w:rsid w:val="00310B19"/>
    <w:rsid w:val="00311762"/>
    <w:rsid w:val="0031241D"/>
    <w:rsid w:val="00312432"/>
    <w:rsid w:val="00312775"/>
    <w:rsid w:val="00312975"/>
    <w:rsid w:val="003129BA"/>
    <w:rsid w:val="00312FC9"/>
    <w:rsid w:val="00313302"/>
    <w:rsid w:val="00313AEF"/>
    <w:rsid w:val="003146C1"/>
    <w:rsid w:val="00314723"/>
    <w:rsid w:val="00314752"/>
    <w:rsid w:val="00314B70"/>
    <w:rsid w:val="00314F89"/>
    <w:rsid w:val="0031554E"/>
    <w:rsid w:val="003155FB"/>
    <w:rsid w:val="0031586C"/>
    <w:rsid w:val="00315ECA"/>
    <w:rsid w:val="0031649A"/>
    <w:rsid w:val="00316DC4"/>
    <w:rsid w:val="0031706C"/>
    <w:rsid w:val="0031706E"/>
    <w:rsid w:val="003178B6"/>
    <w:rsid w:val="00317F35"/>
    <w:rsid w:val="00317FC3"/>
    <w:rsid w:val="003204B1"/>
    <w:rsid w:val="00320A7D"/>
    <w:rsid w:val="003212AE"/>
    <w:rsid w:val="003217DE"/>
    <w:rsid w:val="00322297"/>
    <w:rsid w:val="003228E2"/>
    <w:rsid w:val="00322C72"/>
    <w:rsid w:val="003231D5"/>
    <w:rsid w:val="00323B67"/>
    <w:rsid w:val="00323D66"/>
    <w:rsid w:val="00323EBD"/>
    <w:rsid w:val="003240C3"/>
    <w:rsid w:val="003245AF"/>
    <w:rsid w:val="00324ABA"/>
    <w:rsid w:val="00324DA1"/>
    <w:rsid w:val="003250C1"/>
    <w:rsid w:val="003257E1"/>
    <w:rsid w:val="003258F2"/>
    <w:rsid w:val="00325B86"/>
    <w:rsid w:val="00325DD5"/>
    <w:rsid w:val="00325F4E"/>
    <w:rsid w:val="0032620B"/>
    <w:rsid w:val="00326459"/>
    <w:rsid w:val="003265F9"/>
    <w:rsid w:val="00326F14"/>
    <w:rsid w:val="0032791E"/>
    <w:rsid w:val="00327B5E"/>
    <w:rsid w:val="00330609"/>
    <w:rsid w:val="003306B8"/>
    <w:rsid w:val="00330B12"/>
    <w:rsid w:val="00330C07"/>
    <w:rsid w:val="00330D38"/>
    <w:rsid w:val="00330D4B"/>
    <w:rsid w:val="00330D74"/>
    <w:rsid w:val="00331017"/>
    <w:rsid w:val="00333810"/>
    <w:rsid w:val="00333CCA"/>
    <w:rsid w:val="003341A7"/>
    <w:rsid w:val="0033439F"/>
    <w:rsid w:val="003345A7"/>
    <w:rsid w:val="0033464D"/>
    <w:rsid w:val="003347B0"/>
    <w:rsid w:val="003352BE"/>
    <w:rsid w:val="003355C2"/>
    <w:rsid w:val="00335C2D"/>
    <w:rsid w:val="003369D5"/>
    <w:rsid w:val="003374B0"/>
    <w:rsid w:val="00337849"/>
    <w:rsid w:val="003378CD"/>
    <w:rsid w:val="00337BC3"/>
    <w:rsid w:val="00337E1D"/>
    <w:rsid w:val="00337EF7"/>
    <w:rsid w:val="00340E20"/>
    <w:rsid w:val="00341376"/>
    <w:rsid w:val="00341B35"/>
    <w:rsid w:val="00341B98"/>
    <w:rsid w:val="00342842"/>
    <w:rsid w:val="00342867"/>
    <w:rsid w:val="003429BF"/>
    <w:rsid w:val="00342E6C"/>
    <w:rsid w:val="00343031"/>
    <w:rsid w:val="00343136"/>
    <w:rsid w:val="00343803"/>
    <w:rsid w:val="00343A7B"/>
    <w:rsid w:val="00343FF6"/>
    <w:rsid w:val="003443AB"/>
    <w:rsid w:val="00344AF0"/>
    <w:rsid w:val="00344B38"/>
    <w:rsid w:val="00344FB3"/>
    <w:rsid w:val="003452D4"/>
    <w:rsid w:val="00345435"/>
    <w:rsid w:val="0034546A"/>
    <w:rsid w:val="00345D07"/>
    <w:rsid w:val="003463CC"/>
    <w:rsid w:val="003466A5"/>
    <w:rsid w:val="00346CD1"/>
    <w:rsid w:val="00346D5A"/>
    <w:rsid w:val="00347056"/>
    <w:rsid w:val="0034730B"/>
    <w:rsid w:val="003474DE"/>
    <w:rsid w:val="003502F1"/>
    <w:rsid w:val="00350499"/>
    <w:rsid w:val="00350758"/>
    <w:rsid w:val="003509B6"/>
    <w:rsid w:val="00350ACE"/>
    <w:rsid w:val="003510E6"/>
    <w:rsid w:val="00351603"/>
    <w:rsid w:val="003516A7"/>
    <w:rsid w:val="0035170E"/>
    <w:rsid w:val="003517A9"/>
    <w:rsid w:val="0035188C"/>
    <w:rsid w:val="00351D19"/>
    <w:rsid w:val="00352133"/>
    <w:rsid w:val="00352B26"/>
    <w:rsid w:val="00352C6B"/>
    <w:rsid w:val="00352DEC"/>
    <w:rsid w:val="00352FFB"/>
    <w:rsid w:val="003530FF"/>
    <w:rsid w:val="00353325"/>
    <w:rsid w:val="00353767"/>
    <w:rsid w:val="00353938"/>
    <w:rsid w:val="003539C1"/>
    <w:rsid w:val="00353A94"/>
    <w:rsid w:val="00353ED4"/>
    <w:rsid w:val="0035401C"/>
    <w:rsid w:val="00354671"/>
    <w:rsid w:val="003547AB"/>
    <w:rsid w:val="003548B2"/>
    <w:rsid w:val="003552EB"/>
    <w:rsid w:val="0035539C"/>
    <w:rsid w:val="003554E2"/>
    <w:rsid w:val="0035554D"/>
    <w:rsid w:val="0035574E"/>
    <w:rsid w:val="003563A5"/>
    <w:rsid w:val="003565DC"/>
    <w:rsid w:val="0035688B"/>
    <w:rsid w:val="00356C23"/>
    <w:rsid w:val="00357415"/>
    <w:rsid w:val="00357546"/>
    <w:rsid w:val="003577EF"/>
    <w:rsid w:val="003579D9"/>
    <w:rsid w:val="00357E72"/>
    <w:rsid w:val="00357EA9"/>
    <w:rsid w:val="00357FF3"/>
    <w:rsid w:val="00360187"/>
    <w:rsid w:val="003604E0"/>
    <w:rsid w:val="00360A6E"/>
    <w:rsid w:val="00360B49"/>
    <w:rsid w:val="00360B81"/>
    <w:rsid w:val="00360CED"/>
    <w:rsid w:val="00360E9A"/>
    <w:rsid w:val="0036121B"/>
    <w:rsid w:val="00361420"/>
    <w:rsid w:val="0036159E"/>
    <w:rsid w:val="00361704"/>
    <w:rsid w:val="0036181A"/>
    <w:rsid w:val="0036253C"/>
    <w:rsid w:val="003625A1"/>
    <w:rsid w:val="0036295A"/>
    <w:rsid w:val="00362B41"/>
    <w:rsid w:val="00363164"/>
    <w:rsid w:val="003636C7"/>
    <w:rsid w:val="00364291"/>
    <w:rsid w:val="00364733"/>
    <w:rsid w:val="00364C54"/>
    <w:rsid w:val="00364E66"/>
    <w:rsid w:val="00364F14"/>
    <w:rsid w:val="00365051"/>
    <w:rsid w:val="00365699"/>
    <w:rsid w:val="0036588A"/>
    <w:rsid w:val="003661A7"/>
    <w:rsid w:val="00366473"/>
    <w:rsid w:val="003665C6"/>
    <w:rsid w:val="00366BE9"/>
    <w:rsid w:val="00366F7D"/>
    <w:rsid w:val="00367106"/>
    <w:rsid w:val="003679AB"/>
    <w:rsid w:val="00367D33"/>
    <w:rsid w:val="00367EC8"/>
    <w:rsid w:val="00367FD3"/>
    <w:rsid w:val="0037024A"/>
    <w:rsid w:val="003702A9"/>
    <w:rsid w:val="00370C68"/>
    <w:rsid w:val="00371029"/>
    <w:rsid w:val="00371423"/>
    <w:rsid w:val="003714A3"/>
    <w:rsid w:val="00371514"/>
    <w:rsid w:val="00371A60"/>
    <w:rsid w:val="00371C1D"/>
    <w:rsid w:val="003720D1"/>
    <w:rsid w:val="00372410"/>
    <w:rsid w:val="003726AD"/>
    <w:rsid w:val="003726DA"/>
    <w:rsid w:val="00372761"/>
    <w:rsid w:val="00372B8A"/>
    <w:rsid w:val="00372F72"/>
    <w:rsid w:val="0037317C"/>
    <w:rsid w:val="00373289"/>
    <w:rsid w:val="003736AA"/>
    <w:rsid w:val="003739BE"/>
    <w:rsid w:val="00373E16"/>
    <w:rsid w:val="00374B60"/>
    <w:rsid w:val="00374C78"/>
    <w:rsid w:val="003750D2"/>
    <w:rsid w:val="00375879"/>
    <w:rsid w:val="00375976"/>
    <w:rsid w:val="00375A46"/>
    <w:rsid w:val="00376641"/>
    <w:rsid w:val="00377CF1"/>
    <w:rsid w:val="00377F24"/>
    <w:rsid w:val="0038015C"/>
    <w:rsid w:val="003801AB"/>
    <w:rsid w:val="003808AD"/>
    <w:rsid w:val="003811A3"/>
    <w:rsid w:val="00381761"/>
    <w:rsid w:val="00382170"/>
    <w:rsid w:val="00382423"/>
    <w:rsid w:val="0038279A"/>
    <w:rsid w:val="00382973"/>
    <w:rsid w:val="00382BC3"/>
    <w:rsid w:val="00383B0B"/>
    <w:rsid w:val="003841F7"/>
    <w:rsid w:val="003842B2"/>
    <w:rsid w:val="0038499E"/>
    <w:rsid w:val="00384E02"/>
    <w:rsid w:val="00384F68"/>
    <w:rsid w:val="00385C05"/>
    <w:rsid w:val="00385C11"/>
    <w:rsid w:val="00385E04"/>
    <w:rsid w:val="003861FE"/>
    <w:rsid w:val="0038653B"/>
    <w:rsid w:val="003865CD"/>
    <w:rsid w:val="00386B82"/>
    <w:rsid w:val="00386CB0"/>
    <w:rsid w:val="003870C4"/>
    <w:rsid w:val="00387128"/>
    <w:rsid w:val="003878DA"/>
    <w:rsid w:val="00387CD6"/>
    <w:rsid w:val="00390287"/>
    <w:rsid w:val="00391311"/>
    <w:rsid w:val="003914C7"/>
    <w:rsid w:val="003916BA"/>
    <w:rsid w:val="00391B97"/>
    <w:rsid w:val="00391D9E"/>
    <w:rsid w:val="003921B9"/>
    <w:rsid w:val="00392335"/>
    <w:rsid w:val="003929DF"/>
    <w:rsid w:val="00392B29"/>
    <w:rsid w:val="00393772"/>
    <w:rsid w:val="003937A6"/>
    <w:rsid w:val="003938EA"/>
    <w:rsid w:val="00393C26"/>
    <w:rsid w:val="00393FAB"/>
    <w:rsid w:val="00394554"/>
    <w:rsid w:val="003945E2"/>
    <w:rsid w:val="0039568B"/>
    <w:rsid w:val="0039643C"/>
    <w:rsid w:val="0039683B"/>
    <w:rsid w:val="0039687E"/>
    <w:rsid w:val="00396D64"/>
    <w:rsid w:val="00396D80"/>
    <w:rsid w:val="00396E69"/>
    <w:rsid w:val="00397053"/>
    <w:rsid w:val="0039791F"/>
    <w:rsid w:val="003979CD"/>
    <w:rsid w:val="00397D29"/>
    <w:rsid w:val="003A0644"/>
    <w:rsid w:val="003A1397"/>
    <w:rsid w:val="003A1560"/>
    <w:rsid w:val="003A1621"/>
    <w:rsid w:val="003A1A22"/>
    <w:rsid w:val="003A20C0"/>
    <w:rsid w:val="003A2D91"/>
    <w:rsid w:val="003A2FC5"/>
    <w:rsid w:val="003A34E0"/>
    <w:rsid w:val="003A358D"/>
    <w:rsid w:val="003A3761"/>
    <w:rsid w:val="003A37E4"/>
    <w:rsid w:val="003A382B"/>
    <w:rsid w:val="003A38C8"/>
    <w:rsid w:val="003A3C6B"/>
    <w:rsid w:val="003A3D6E"/>
    <w:rsid w:val="003A3E8C"/>
    <w:rsid w:val="003A4493"/>
    <w:rsid w:val="003A4BD3"/>
    <w:rsid w:val="003A50CF"/>
    <w:rsid w:val="003A5818"/>
    <w:rsid w:val="003A5879"/>
    <w:rsid w:val="003A5D76"/>
    <w:rsid w:val="003A5DD7"/>
    <w:rsid w:val="003A659F"/>
    <w:rsid w:val="003A65C1"/>
    <w:rsid w:val="003A697C"/>
    <w:rsid w:val="003A6A44"/>
    <w:rsid w:val="003A6C17"/>
    <w:rsid w:val="003A7627"/>
    <w:rsid w:val="003A7CD0"/>
    <w:rsid w:val="003A7EB8"/>
    <w:rsid w:val="003B074B"/>
    <w:rsid w:val="003B09FD"/>
    <w:rsid w:val="003B0DEC"/>
    <w:rsid w:val="003B0EA8"/>
    <w:rsid w:val="003B1600"/>
    <w:rsid w:val="003B1610"/>
    <w:rsid w:val="003B16D3"/>
    <w:rsid w:val="003B1DC4"/>
    <w:rsid w:val="003B202C"/>
    <w:rsid w:val="003B23B4"/>
    <w:rsid w:val="003B3083"/>
    <w:rsid w:val="003B30FD"/>
    <w:rsid w:val="003B35DE"/>
    <w:rsid w:val="003B456A"/>
    <w:rsid w:val="003B4882"/>
    <w:rsid w:val="003B4964"/>
    <w:rsid w:val="003B4968"/>
    <w:rsid w:val="003B49E2"/>
    <w:rsid w:val="003B5455"/>
    <w:rsid w:val="003B56FA"/>
    <w:rsid w:val="003B5771"/>
    <w:rsid w:val="003B60D5"/>
    <w:rsid w:val="003B61C8"/>
    <w:rsid w:val="003B6395"/>
    <w:rsid w:val="003B67B9"/>
    <w:rsid w:val="003B6973"/>
    <w:rsid w:val="003B7CED"/>
    <w:rsid w:val="003B7FAF"/>
    <w:rsid w:val="003B7FBF"/>
    <w:rsid w:val="003C0189"/>
    <w:rsid w:val="003C01D2"/>
    <w:rsid w:val="003C0C30"/>
    <w:rsid w:val="003C0E76"/>
    <w:rsid w:val="003C1345"/>
    <w:rsid w:val="003C17F6"/>
    <w:rsid w:val="003C1B73"/>
    <w:rsid w:val="003C2122"/>
    <w:rsid w:val="003C2351"/>
    <w:rsid w:val="003C26CE"/>
    <w:rsid w:val="003C3009"/>
    <w:rsid w:val="003C3207"/>
    <w:rsid w:val="003C3704"/>
    <w:rsid w:val="003C38E8"/>
    <w:rsid w:val="003C3D6D"/>
    <w:rsid w:val="003C3F5F"/>
    <w:rsid w:val="003C4057"/>
    <w:rsid w:val="003C4620"/>
    <w:rsid w:val="003C5A7C"/>
    <w:rsid w:val="003C622A"/>
    <w:rsid w:val="003C6341"/>
    <w:rsid w:val="003C688E"/>
    <w:rsid w:val="003C6C09"/>
    <w:rsid w:val="003C72D4"/>
    <w:rsid w:val="003C7B28"/>
    <w:rsid w:val="003D0219"/>
    <w:rsid w:val="003D03F4"/>
    <w:rsid w:val="003D095D"/>
    <w:rsid w:val="003D1886"/>
    <w:rsid w:val="003D1D20"/>
    <w:rsid w:val="003D2616"/>
    <w:rsid w:val="003D270F"/>
    <w:rsid w:val="003D29AD"/>
    <w:rsid w:val="003D3021"/>
    <w:rsid w:val="003D3506"/>
    <w:rsid w:val="003D35EF"/>
    <w:rsid w:val="003D35FC"/>
    <w:rsid w:val="003D3EC7"/>
    <w:rsid w:val="003D40A4"/>
    <w:rsid w:val="003D41F9"/>
    <w:rsid w:val="003D4334"/>
    <w:rsid w:val="003D45C0"/>
    <w:rsid w:val="003D46BF"/>
    <w:rsid w:val="003D4AA5"/>
    <w:rsid w:val="003D5123"/>
    <w:rsid w:val="003D5363"/>
    <w:rsid w:val="003D5D41"/>
    <w:rsid w:val="003D66FC"/>
    <w:rsid w:val="003D7199"/>
    <w:rsid w:val="003D726A"/>
    <w:rsid w:val="003D76B1"/>
    <w:rsid w:val="003D7A08"/>
    <w:rsid w:val="003D7F50"/>
    <w:rsid w:val="003E0A06"/>
    <w:rsid w:val="003E1175"/>
    <w:rsid w:val="003E1257"/>
    <w:rsid w:val="003E170E"/>
    <w:rsid w:val="003E19E7"/>
    <w:rsid w:val="003E1EEA"/>
    <w:rsid w:val="003E2949"/>
    <w:rsid w:val="003E2DE4"/>
    <w:rsid w:val="003E314D"/>
    <w:rsid w:val="003E3C21"/>
    <w:rsid w:val="003E3C26"/>
    <w:rsid w:val="003E4063"/>
    <w:rsid w:val="003E5349"/>
    <w:rsid w:val="003E5C76"/>
    <w:rsid w:val="003E5D32"/>
    <w:rsid w:val="003E60CF"/>
    <w:rsid w:val="003E7747"/>
    <w:rsid w:val="003E7782"/>
    <w:rsid w:val="003E7F31"/>
    <w:rsid w:val="003F0BEE"/>
    <w:rsid w:val="003F10EF"/>
    <w:rsid w:val="003F194D"/>
    <w:rsid w:val="003F1D45"/>
    <w:rsid w:val="003F1D83"/>
    <w:rsid w:val="003F1FFE"/>
    <w:rsid w:val="003F2461"/>
    <w:rsid w:val="003F259A"/>
    <w:rsid w:val="003F2751"/>
    <w:rsid w:val="003F2830"/>
    <w:rsid w:val="003F291C"/>
    <w:rsid w:val="003F2971"/>
    <w:rsid w:val="003F2B4E"/>
    <w:rsid w:val="003F2DD6"/>
    <w:rsid w:val="003F3CC6"/>
    <w:rsid w:val="003F3D89"/>
    <w:rsid w:val="003F41B7"/>
    <w:rsid w:val="003F4215"/>
    <w:rsid w:val="003F4770"/>
    <w:rsid w:val="003F5966"/>
    <w:rsid w:val="003F5E56"/>
    <w:rsid w:val="003F5FB3"/>
    <w:rsid w:val="003F64B9"/>
    <w:rsid w:val="003F64F1"/>
    <w:rsid w:val="003F6561"/>
    <w:rsid w:val="003F6D70"/>
    <w:rsid w:val="003F7430"/>
    <w:rsid w:val="003F7596"/>
    <w:rsid w:val="003F7A71"/>
    <w:rsid w:val="003F7CD2"/>
    <w:rsid w:val="003F7E98"/>
    <w:rsid w:val="00400A98"/>
    <w:rsid w:val="00400BE3"/>
    <w:rsid w:val="00401080"/>
    <w:rsid w:val="004012F6"/>
    <w:rsid w:val="00401F43"/>
    <w:rsid w:val="00402E34"/>
    <w:rsid w:val="004033F9"/>
    <w:rsid w:val="004034C6"/>
    <w:rsid w:val="00403536"/>
    <w:rsid w:val="004038D7"/>
    <w:rsid w:val="00403BB8"/>
    <w:rsid w:val="00403DCF"/>
    <w:rsid w:val="00403DEA"/>
    <w:rsid w:val="00403F46"/>
    <w:rsid w:val="004040AE"/>
    <w:rsid w:val="004044CA"/>
    <w:rsid w:val="00404878"/>
    <w:rsid w:val="00404AC8"/>
    <w:rsid w:val="00404C4F"/>
    <w:rsid w:val="0040576C"/>
    <w:rsid w:val="004057B2"/>
    <w:rsid w:val="00405CA8"/>
    <w:rsid w:val="00406556"/>
    <w:rsid w:val="00406EC2"/>
    <w:rsid w:val="0040703C"/>
    <w:rsid w:val="00407467"/>
    <w:rsid w:val="00407780"/>
    <w:rsid w:val="00407AB0"/>
    <w:rsid w:val="00407B61"/>
    <w:rsid w:val="00407E8E"/>
    <w:rsid w:val="00407FF2"/>
    <w:rsid w:val="00409099"/>
    <w:rsid w:val="00411148"/>
    <w:rsid w:val="004112F1"/>
    <w:rsid w:val="00411585"/>
    <w:rsid w:val="00411AC4"/>
    <w:rsid w:val="004122CD"/>
    <w:rsid w:val="0041243C"/>
    <w:rsid w:val="00412A04"/>
    <w:rsid w:val="00412CC5"/>
    <w:rsid w:val="00412E6B"/>
    <w:rsid w:val="00412F71"/>
    <w:rsid w:val="00413088"/>
    <w:rsid w:val="004136A8"/>
    <w:rsid w:val="00413FF7"/>
    <w:rsid w:val="004144D1"/>
    <w:rsid w:val="00414AB8"/>
    <w:rsid w:val="004153AD"/>
    <w:rsid w:val="00415424"/>
    <w:rsid w:val="004156EB"/>
    <w:rsid w:val="00415763"/>
    <w:rsid w:val="00415F05"/>
    <w:rsid w:val="00415FA1"/>
    <w:rsid w:val="0041693E"/>
    <w:rsid w:val="00416A14"/>
    <w:rsid w:val="00416AEC"/>
    <w:rsid w:val="00417234"/>
    <w:rsid w:val="0041740E"/>
    <w:rsid w:val="00417A3E"/>
    <w:rsid w:val="00417C5F"/>
    <w:rsid w:val="00417CB2"/>
    <w:rsid w:val="00417E83"/>
    <w:rsid w:val="004205BB"/>
    <w:rsid w:val="0042089C"/>
    <w:rsid w:val="0042095F"/>
    <w:rsid w:val="004209A1"/>
    <w:rsid w:val="0042107E"/>
    <w:rsid w:val="00421387"/>
    <w:rsid w:val="00421411"/>
    <w:rsid w:val="00421BD2"/>
    <w:rsid w:val="00421BF2"/>
    <w:rsid w:val="00421C04"/>
    <w:rsid w:val="00421EDE"/>
    <w:rsid w:val="00422D0F"/>
    <w:rsid w:val="00423134"/>
    <w:rsid w:val="00423373"/>
    <w:rsid w:val="004234D3"/>
    <w:rsid w:val="00423D30"/>
    <w:rsid w:val="00423E5C"/>
    <w:rsid w:val="00425038"/>
    <w:rsid w:val="0042509B"/>
    <w:rsid w:val="004252E4"/>
    <w:rsid w:val="004259F6"/>
    <w:rsid w:val="00425E48"/>
    <w:rsid w:val="00426200"/>
    <w:rsid w:val="004264BA"/>
    <w:rsid w:val="004267EB"/>
    <w:rsid w:val="00426C46"/>
    <w:rsid w:val="00426E0A"/>
    <w:rsid w:val="00427250"/>
    <w:rsid w:val="004273BB"/>
    <w:rsid w:val="004274C0"/>
    <w:rsid w:val="004276FC"/>
    <w:rsid w:val="00427AA2"/>
    <w:rsid w:val="00427D90"/>
    <w:rsid w:val="00430070"/>
    <w:rsid w:val="004300E4"/>
    <w:rsid w:val="00430177"/>
    <w:rsid w:val="0043038D"/>
    <w:rsid w:val="00430617"/>
    <w:rsid w:val="00430A49"/>
    <w:rsid w:val="0043115A"/>
    <w:rsid w:val="004319C7"/>
    <w:rsid w:val="00431AC0"/>
    <w:rsid w:val="00431B8E"/>
    <w:rsid w:val="00431D66"/>
    <w:rsid w:val="00431F93"/>
    <w:rsid w:val="00432DE1"/>
    <w:rsid w:val="004330EE"/>
    <w:rsid w:val="0043337C"/>
    <w:rsid w:val="0043346B"/>
    <w:rsid w:val="00433549"/>
    <w:rsid w:val="00433EA1"/>
    <w:rsid w:val="00434285"/>
    <w:rsid w:val="00434E27"/>
    <w:rsid w:val="004351B0"/>
    <w:rsid w:val="0043575F"/>
    <w:rsid w:val="004359FF"/>
    <w:rsid w:val="00436A7C"/>
    <w:rsid w:val="0043723B"/>
    <w:rsid w:val="004400B0"/>
    <w:rsid w:val="004403FE"/>
    <w:rsid w:val="00440501"/>
    <w:rsid w:val="00440714"/>
    <w:rsid w:val="004409ED"/>
    <w:rsid w:val="00440A8C"/>
    <w:rsid w:val="004415BE"/>
    <w:rsid w:val="00442074"/>
    <w:rsid w:val="00442928"/>
    <w:rsid w:val="00442C8B"/>
    <w:rsid w:val="00442FA5"/>
    <w:rsid w:val="00443B4F"/>
    <w:rsid w:val="00443EB5"/>
    <w:rsid w:val="004445EF"/>
    <w:rsid w:val="00444E06"/>
    <w:rsid w:val="00445197"/>
    <w:rsid w:val="004456C8"/>
    <w:rsid w:val="004457F4"/>
    <w:rsid w:val="004459F8"/>
    <w:rsid w:val="00445D8B"/>
    <w:rsid w:val="00446041"/>
    <w:rsid w:val="00446509"/>
    <w:rsid w:val="004465D9"/>
    <w:rsid w:val="00447021"/>
    <w:rsid w:val="0044746A"/>
    <w:rsid w:val="00447615"/>
    <w:rsid w:val="00447628"/>
    <w:rsid w:val="0044793F"/>
    <w:rsid w:val="00447D0B"/>
    <w:rsid w:val="00447F19"/>
    <w:rsid w:val="004505F3"/>
    <w:rsid w:val="00450AB4"/>
    <w:rsid w:val="004514C3"/>
    <w:rsid w:val="00452320"/>
    <w:rsid w:val="004525B8"/>
    <w:rsid w:val="00452712"/>
    <w:rsid w:val="00452A81"/>
    <w:rsid w:val="00453EF6"/>
    <w:rsid w:val="0045411B"/>
    <w:rsid w:val="0045482A"/>
    <w:rsid w:val="00454DB2"/>
    <w:rsid w:val="00454DF0"/>
    <w:rsid w:val="00455282"/>
    <w:rsid w:val="004552D6"/>
    <w:rsid w:val="0045555D"/>
    <w:rsid w:val="004558A1"/>
    <w:rsid w:val="00456088"/>
    <w:rsid w:val="0045650F"/>
    <w:rsid w:val="00457576"/>
    <w:rsid w:val="00457AD1"/>
    <w:rsid w:val="00457C7C"/>
    <w:rsid w:val="00457DB0"/>
    <w:rsid w:val="00457DCD"/>
    <w:rsid w:val="00460A16"/>
    <w:rsid w:val="00460D1B"/>
    <w:rsid w:val="00461163"/>
    <w:rsid w:val="0046120A"/>
    <w:rsid w:val="0046128F"/>
    <w:rsid w:val="004612F6"/>
    <w:rsid w:val="00461304"/>
    <w:rsid w:val="00461408"/>
    <w:rsid w:val="004615E7"/>
    <w:rsid w:val="00461773"/>
    <w:rsid w:val="00461801"/>
    <w:rsid w:val="004619E8"/>
    <w:rsid w:val="004624CA"/>
    <w:rsid w:val="004624E0"/>
    <w:rsid w:val="00462605"/>
    <w:rsid w:val="004636CA"/>
    <w:rsid w:val="00463877"/>
    <w:rsid w:val="00463988"/>
    <w:rsid w:val="004639C6"/>
    <w:rsid w:val="00463A63"/>
    <w:rsid w:val="00463D90"/>
    <w:rsid w:val="004642D1"/>
    <w:rsid w:val="0046430F"/>
    <w:rsid w:val="0046442B"/>
    <w:rsid w:val="00465055"/>
    <w:rsid w:val="004653CF"/>
    <w:rsid w:val="00465923"/>
    <w:rsid w:val="00465B49"/>
    <w:rsid w:val="00465C46"/>
    <w:rsid w:val="00465C5F"/>
    <w:rsid w:val="00466172"/>
    <w:rsid w:val="00466867"/>
    <w:rsid w:val="00466963"/>
    <w:rsid w:val="004669F4"/>
    <w:rsid w:val="00466A3C"/>
    <w:rsid w:val="00466B9A"/>
    <w:rsid w:val="004679A6"/>
    <w:rsid w:val="00467C50"/>
    <w:rsid w:val="00467EDC"/>
    <w:rsid w:val="004705FF"/>
    <w:rsid w:val="00470C68"/>
    <w:rsid w:val="00470EEA"/>
    <w:rsid w:val="00471473"/>
    <w:rsid w:val="00471BE7"/>
    <w:rsid w:val="00471E8C"/>
    <w:rsid w:val="004723B5"/>
    <w:rsid w:val="00472465"/>
    <w:rsid w:val="004726BD"/>
    <w:rsid w:val="00472993"/>
    <w:rsid w:val="00472A61"/>
    <w:rsid w:val="00472D12"/>
    <w:rsid w:val="00472EE3"/>
    <w:rsid w:val="00472FBC"/>
    <w:rsid w:val="004730F6"/>
    <w:rsid w:val="004730F9"/>
    <w:rsid w:val="00473EA1"/>
    <w:rsid w:val="004740A3"/>
    <w:rsid w:val="004741FE"/>
    <w:rsid w:val="00475000"/>
    <w:rsid w:val="00476824"/>
    <w:rsid w:val="00476A24"/>
    <w:rsid w:val="00476AD5"/>
    <w:rsid w:val="00476C32"/>
    <w:rsid w:val="00476CEC"/>
    <w:rsid w:val="00476DA8"/>
    <w:rsid w:val="00476E28"/>
    <w:rsid w:val="00477989"/>
    <w:rsid w:val="00477CC7"/>
    <w:rsid w:val="00480269"/>
    <w:rsid w:val="004805DC"/>
    <w:rsid w:val="00480B41"/>
    <w:rsid w:val="00480C13"/>
    <w:rsid w:val="00481229"/>
    <w:rsid w:val="00481B57"/>
    <w:rsid w:val="00481C8A"/>
    <w:rsid w:val="0048243C"/>
    <w:rsid w:val="00482C8D"/>
    <w:rsid w:val="00483542"/>
    <w:rsid w:val="00483951"/>
    <w:rsid w:val="00483F6C"/>
    <w:rsid w:val="00484101"/>
    <w:rsid w:val="0048419D"/>
    <w:rsid w:val="00484796"/>
    <w:rsid w:val="00484992"/>
    <w:rsid w:val="00484C1C"/>
    <w:rsid w:val="00484E3B"/>
    <w:rsid w:val="00484EC9"/>
    <w:rsid w:val="004850A6"/>
    <w:rsid w:val="00485359"/>
    <w:rsid w:val="004853D6"/>
    <w:rsid w:val="00485A23"/>
    <w:rsid w:val="00485A85"/>
    <w:rsid w:val="004867C5"/>
    <w:rsid w:val="00487ACE"/>
    <w:rsid w:val="00487AFB"/>
    <w:rsid w:val="00490014"/>
    <w:rsid w:val="00490A62"/>
    <w:rsid w:val="0049143C"/>
    <w:rsid w:val="00492093"/>
    <w:rsid w:val="004928EA"/>
    <w:rsid w:val="004932CB"/>
    <w:rsid w:val="00494080"/>
    <w:rsid w:val="0049491D"/>
    <w:rsid w:val="00494B74"/>
    <w:rsid w:val="00494DDB"/>
    <w:rsid w:val="00494E04"/>
    <w:rsid w:val="00494E9B"/>
    <w:rsid w:val="00494FB6"/>
    <w:rsid w:val="004952BC"/>
    <w:rsid w:val="0049589E"/>
    <w:rsid w:val="00495A9B"/>
    <w:rsid w:val="00495AF7"/>
    <w:rsid w:val="00495F50"/>
    <w:rsid w:val="00496775"/>
    <w:rsid w:val="00496D0A"/>
    <w:rsid w:val="00497765"/>
    <w:rsid w:val="0049784D"/>
    <w:rsid w:val="004A053E"/>
    <w:rsid w:val="004A054C"/>
    <w:rsid w:val="004A07E1"/>
    <w:rsid w:val="004A0BE6"/>
    <w:rsid w:val="004A10C3"/>
    <w:rsid w:val="004A13C6"/>
    <w:rsid w:val="004A1BF8"/>
    <w:rsid w:val="004A22AE"/>
    <w:rsid w:val="004A22BA"/>
    <w:rsid w:val="004A2720"/>
    <w:rsid w:val="004A3081"/>
    <w:rsid w:val="004A388F"/>
    <w:rsid w:val="004A3F9E"/>
    <w:rsid w:val="004A3FA1"/>
    <w:rsid w:val="004A3FC7"/>
    <w:rsid w:val="004A4547"/>
    <w:rsid w:val="004A4A7C"/>
    <w:rsid w:val="004A4ECE"/>
    <w:rsid w:val="004A4F51"/>
    <w:rsid w:val="004A599D"/>
    <w:rsid w:val="004A5BB8"/>
    <w:rsid w:val="004A6BB3"/>
    <w:rsid w:val="004B0675"/>
    <w:rsid w:val="004B0C12"/>
    <w:rsid w:val="004B0E06"/>
    <w:rsid w:val="004B0E3D"/>
    <w:rsid w:val="004B0F4D"/>
    <w:rsid w:val="004B1027"/>
    <w:rsid w:val="004B12B0"/>
    <w:rsid w:val="004B1637"/>
    <w:rsid w:val="004B1922"/>
    <w:rsid w:val="004B19C6"/>
    <w:rsid w:val="004B1B18"/>
    <w:rsid w:val="004B1DF4"/>
    <w:rsid w:val="004B2288"/>
    <w:rsid w:val="004B27E1"/>
    <w:rsid w:val="004B3865"/>
    <w:rsid w:val="004B39FE"/>
    <w:rsid w:val="004B3B3B"/>
    <w:rsid w:val="004B3D1F"/>
    <w:rsid w:val="004B3FF5"/>
    <w:rsid w:val="004B4167"/>
    <w:rsid w:val="004B4337"/>
    <w:rsid w:val="004B4D78"/>
    <w:rsid w:val="004B5021"/>
    <w:rsid w:val="004B50A1"/>
    <w:rsid w:val="004B5705"/>
    <w:rsid w:val="004B57DF"/>
    <w:rsid w:val="004B5D0A"/>
    <w:rsid w:val="004B5F33"/>
    <w:rsid w:val="004B5F46"/>
    <w:rsid w:val="004B6141"/>
    <w:rsid w:val="004B6343"/>
    <w:rsid w:val="004B6A83"/>
    <w:rsid w:val="004B6CC1"/>
    <w:rsid w:val="004B75EC"/>
    <w:rsid w:val="004C0093"/>
    <w:rsid w:val="004C0A89"/>
    <w:rsid w:val="004C0AED"/>
    <w:rsid w:val="004C0B01"/>
    <w:rsid w:val="004C1AC2"/>
    <w:rsid w:val="004C1E2E"/>
    <w:rsid w:val="004C1FB6"/>
    <w:rsid w:val="004C2649"/>
    <w:rsid w:val="004C2698"/>
    <w:rsid w:val="004C2944"/>
    <w:rsid w:val="004C295D"/>
    <w:rsid w:val="004C2967"/>
    <w:rsid w:val="004C3370"/>
    <w:rsid w:val="004C3CB3"/>
    <w:rsid w:val="004C4213"/>
    <w:rsid w:val="004C4251"/>
    <w:rsid w:val="004C42FF"/>
    <w:rsid w:val="004C4B36"/>
    <w:rsid w:val="004C4BFA"/>
    <w:rsid w:val="004C4E07"/>
    <w:rsid w:val="004C5795"/>
    <w:rsid w:val="004C590A"/>
    <w:rsid w:val="004C5AEF"/>
    <w:rsid w:val="004C6761"/>
    <w:rsid w:val="004C75FE"/>
    <w:rsid w:val="004C7D0B"/>
    <w:rsid w:val="004C7D8A"/>
    <w:rsid w:val="004D0BED"/>
    <w:rsid w:val="004D0D39"/>
    <w:rsid w:val="004D0F97"/>
    <w:rsid w:val="004D104E"/>
    <w:rsid w:val="004D13B1"/>
    <w:rsid w:val="004D16D1"/>
    <w:rsid w:val="004D175A"/>
    <w:rsid w:val="004D1EA3"/>
    <w:rsid w:val="004D265B"/>
    <w:rsid w:val="004D2776"/>
    <w:rsid w:val="004D279B"/>
    <w:rsid w:val="004D358D"/>
    <w:rsid w:val="004D3AE5"/>
    <w:rsid w:val="004D3FDA"/>
    <w:rsid w:val="004D495A"/>
    <w:rsid w:val="004D4B49"/>
    <w:rsid w:val="004D4BD1"/>
    <w:rsid w:val="004D548B"/>
    <w:rsid w:val="004D5BFD"/>
    <w:rsid w:val="004D630C"/>
    <w:rsid w:val="004D6712"/>
    <w:rsid w:val="004D6DD1"/>
    <w:rsid w:val="004D6F6D"/>
    <w:rsid w:val="004D70B9"/>
    <w:rsid w:val="004D76BE"/>
    <w:rsid w:val="004D77D8"/>
    <w:rsid w:val="004E07C6"/>
    <w:rsid w:val="004E1A05"/>
    <w:rsid w:val="004E1AA1"/>
    <w:rsid w:val="004E1B08"/>
    <w:rsid w:val="004E1D99"/>
    <w:rsid w:val="004E1F0B"/>
    <w:rsid w:val="004E2068"/>
    <w:rsid w:val="004E2435"/>
    <w:rsid w:val="004E2D26"/>
    <w:rsid w:val="004E3189"/>
    <w:rsid w:val="004E3318"/>
    <w:rsid w:val="004E36C0"/>
    <w:rsid w:val="004E3FA5"/>
    <w:rsid w:val="004E45C0"/>
    <w:rsid w:val="004E4B09"/>
    <w:rsid w:val="004E4BAD"/>
    <w:rsid w:val="004E52E4"/>
    <w:rsid w:val="004E534D"/>
    <w:rsid w:val="004E5F3D"/>
    <w:rsid w:val="004E6290"/>
    <w:rsid w:val="004E631F"/>
    <w:rsid w:val="004E6800"/>
    <w:rsid w:val="004E6ED1"/>
    <w:rsid w:val="004E7119"/>
    <w:rsid w:val="004E7622"/>
    <w:rsid w:val="004E76EF"/>
    <w:rsid w:val="004E7DCC"/>
    <w:rsid w:val="004E7F04"/>
    <w:rsid w:val="004E7FD5"/>
    <w:rsid w:val="004F04DF"/>
    <w:rsid w:val="004F12DE"/>
    <w:rsid w:val="004F1A16"/>
    <w:rsid w:val="004F1CA1"/>
    <w:rsid w:val="004F210F"/>
    <w:rsid w:val="004F2483"/>
    <w:rsid w:val="004F29FA"/>
    <w:rsid w:val="004F2C58"/>
    <w:rsid w:val="004F2C89"/>
    <w:rsid w:val="004F2D89"/>
    <w:rsid w:val="004F2F39"/>
    <w:rsid w:val="004F326C"/>
    <w:rsid w:val="004F34BC"/>
    <w:rsid w:val="004F3998"/>
    <w:rsid w:val="004F3E67"/>
    <w:rsid w:val="004F40A4"/>
    <w:rsid w:val="004F4E45"/>
    <w:rsid w:val="004F585A"/>
    <w:rsid w:val="004F590D"/>
    <w:rsid w:val="004F60EA"/>
    <w:rsid w:val="004F65FB"/>
    <w:rsid w:val="004F688C"/>
    <w:rsid w:val="004F694B"/>
    <w:rsid w:val="004F6B18"/>
    <w:rsid w:val="004F6D58"/>
    <w:rsid w:val="004F6F10"/>
    <w:rsid w:val="004F7042"/>
    <w:rsid w:val="004F70FA"/>
    <w:rsid w:val="004F7B8D"/>
    <w:rsid w:val="005004C1"/>
    <w:rsid w:val="00501696"/>
    <w:rsid w:val="00501827"/>
    <w:rsid w:val="00501985"/>
    <w:rsid w:val="00501A3E"/>
    <w:rsid w:val="00501B23"/>
    <w:rsid w:val="00501D0C"/>
    <w:rsid w:val="00501D67"/>
    <w:rsid w:val="00501E52"/>
    <w:rsid w:val="0050202A"/>
    <w:rsid w:val="005020DB"/>
    <w:rsid w:val="00502112"/>
    <w:rsid w:val="005022C9"/>
    <w:rsid w:val="00502AB4"/>
    <w:rsid w:val="00502DBD"/>
    <w:rsid w:val="00502DBE"/>
    <w:rsid w:val="00502E1C"/>
    <w:rsid w:val="00503D28"/>
    <w:rsid w:val="00503E8C"/>
    <w:rsid w:val="00504003"/>
    <w:rsid w:val="0050417A"/>
    <w:rsid w:val="00504D08"/>
    <w:rsid w:val="00505859"/>
    <w:rsid w:val="00505AA3"/>
    <w:rsid w:val="00505B10"/>
    <w:rsid w:val="00505CC9"/>
    <w:rsid w:val="00505EE4"/>
    <w:rsid w:val="00505FA3"/>
    <w:rsid w:val="00505FB4"/>
    <w:rsid w:val="0050661D"/>
    <w:rsid w:val="00507394"/>
    <w:rsid w:val="0050752D"/>
    <w:rsid w:val="00510038"/>
    <w:rsid w:val="005105BA"/>
    <w:rsid w:val="00510642"/>
    <w:rsid w:val="0051090D"/>
    <w:rsid w:val="00510922"/>
    <w:rsid w:val="00510ABE"/>
    <w:rsid w:val="00510B0E"/>
    <w:rsid w:val="00510C9D"/>
    <w:rsid w:val="00511349"/>
    <w:rsid w:val="005117B5"/>
    <w:rsid w:val="00511D7F"/>
    <w:rsid w:val="005120D4"/>
    <w:rsid w:val="00512384"/>
    <w:rsid w:val="00512990"/>
    <w:rsid w:val="005130B5"/>
    <w:rsid w:val="005135BA"/>
    <w:rsid w:val="00513868"/>
    <w:rsid w:val="00513C20"/>
    <w:rsid w:val="00513E0C"/>
    <w:rsid w:val="00513E1F"/>
    <w:rsid w:val="005142FD"/>
    <w:rsid w:val="0051462A"/>
    <w:rsid w:val="00514803"/>
    <w:rsid w:val="00514962"/>
    <w:rsid w:val="00514AAB"/>
    <w:rsid w:val="00514CD3"/>
    <w:rsid w:val="00514EB7"/>
    <w:rsid w:val="00514EEC"/>
    <w:rsid w:val="0051533B"/>
    <w:rsid w:val="00515E9A"/>
    <w:rsid w:val="00515FCB"/>
    <w:rsid w:val="005161DB"/>
    <w:rsid w:val="005166CC"/>
    <w:rsid w:val="00516AB0"/>
    <w:rsid w:val="00516ACC"/>
    <w:rsid w:val="00516C15"/>
    <w:rsid w:val="00516C39"/>
    <w:rsid w:val="00516D59"/>
    <w:rsid w:val="00517552"/>
    <w:rsid w:val="00517954"/>
    <w:rsid w:val="0052166F"/>
    <w:rsid w:val="00521B01"/>
    <w:rsid w:val="00521CA9"/>
    <w:rsid w:val="00521E6E"/>
    <w:rsid w:val="00522980"/>
    <w:rsid w:val="00522CD9"/>
    <w:rsid w:val="00522FA9"/>
    <w:rsid w:val="005234A7"/>
    <w:rsid w:val="00523705"/>
    <w:rsid w:val="00524605"/>
    <w:rsid w:val="00524A5A"/>
    <w:rsid w:val="005256A5"/>
    <w:rsid w:val="005263F2"/>
    <w:rsid w:val="00526C90"/>
    <w:rsid w:val="00526E03"/>
    <w:rsid w:val="00526E94"/>
    <w:rsid w:val="00526F04"/>
    <w:rsid w:val="00526F4B"/>
    <w:rsid w:val="005270B6"/>
    <w:rsid w:val="005274A5"/>
    <w:rsid w:val="005276F0"/>
    <w:rsid w:val="005278BA"/>
    <w:rsid w:val="00527942"/>
    <w:rsid w:val="00530118"/>
    <w:rsid w:val="00530579"/>
    <w:rsid w:val="005308AB"/>
    <w:rsid w:val="005309FB"/>
    <w:rsid w:val="00530AEE"/>
    <w:rsid w:val="00530E58"/>
    <w:rsid w:val="00531285"/>
    <w:rsid w:val="00531514"/>
    <w:rsid w:val="00531573"/>
    <w:rsid w:val="00531819"/>
    <w:rsid w:val="005318C3"/>
    <w:rsid w:val="00531ABC"/>
    <w:rsid w:val="00531B48"/>
    <w:rsid w:val="00531BF2"/>
    <w:rsid w:val="00531C73"/>
    <w:rsid w:val="00531EBF"/>
    <w:rsid w:val="00532249"/>
    <w:rsid w:val="0053270B"/>
    <w:rsid w:val="00532D7A"/>
    <w:rsid w:val="00533722"/>
    <w:rsid w:val="005338B1"/>
    <w:rsid w:val="00533C78"/>
    <w:rsid w:val="00533EBC"/>
    <w:rsid w:val="005340F1"/>
    <w:rsid w:val="005346DF"/>
    <w:rsid w:val="00534C83"/>
    <w:rsid w:val="00535684"/>
    <w:rsid w:val="005363D8"/>
    <w:rsid w:val="005364EF"/>
    <w:rsid w:val="00536886"/>
    <w:rsid w:val="00536907"/>
    <w:rsid w:val="00536ACB"/>
    <w:rsid w:val="0053706D"/>
    <w:rsid w:val="0053708B"/>
    <w:rsid w:val="0053787B"/>
    <w:rsid w:val="005379AD"/>
    <w:rsid w:val="00537D1E"/>
    <w:rsid w:val="00537E05"/>
    <w:rsid w:val="00537E99"/>
    <w:rsid w:val="00540341"/>
    <w:rsid w:val="00540D4A"/>
    <w:rsid w:val="00541A7D"/>
    <w:rsid w:val="00542489"/>
    <w:rsid w:val="00543120"/>
    <w:rsid w:val="0054342E"/>
    <w:rsid w:val="0054356C"/>
    <w:rsid w:val="005438E3"/>
    <w:rsid w:val="00543AC7"/>
    <w:rsid w:val="005454C5"/>
    <w:rsid w:val="005458FC"/>
    <w:rsid w:val="00546A70"/>
    <w:rsid w:val="005470E5"/>
    <w:rsid w:val="00547149"/>
    <w:rsid w:val="00547B9F"/>
    <w:rsid w:val="00547C3F"/>
    <w:rsid w:val="00550293"/>
    <w:rsid w:val="00550357"/>
    <w:rsid w:val="00550501"/>
    <w:rsid w:val="0055090C"/>
    <w:rsid w:val="005509FD"/>
    <w:rsid w:val="00550CDB"/>
    <w:rsid w:val="00550D34"/>
    <w:rsid w:val="005512AF"/>
    <w:rsid w:val="00551AE9"/>
    <w:rsid w:val="00551B46"/>
    <w:rsid w:val="00551F0A"/>
    <w:rsid w:val="005527CF"/>
    <w:rsid w:val="0055296E"/>
    <w:rsid w:val="00552995"/>
    <w:rsid w:val="00552D06"/>
    <w:rsid w:val="00552F58"/>
    <w:rsid w:val="005530C1"/>
    <w:rsid w:val="0055323F"/>
    <w:rsid w:val="005532C4"/>
    <w:rsid w:val="00553884"/>
    <w:rsid w:val="0055395C"/>
    <w:rsid w:val="00553D32"/>
    <w:rsid w:val="00554013"/>
    <w:rsid w:val="0055417B"/>
    <w:rsid w:val="0055472E"/>
    <w:rsid w:val="00554900"/>
    <w:rsid w:val="00554BF5"/>
    <w:rsid w:val="00554C23"/>
    <w:rsid w:val="00555077"/>
    <w:rsid w:val="0055560C"/>
    <w:rsid w:val="005559BE"/>
    <w:rsid w:val="00555A8E"/>
    <w:rsid w:val="00555CC1"/>
    <w:rsid w:val="00555D5D"/>
    <w:rsid w:val="00555DEC"/>
    <w:rsid w:val="0055687F"/>
    <w:rsid w:val="00556A31"/>
    <w:rsid w:val="00556C58"/>
    <w:rsid w:val="00556CA5"/>
    <w:rsid w:val="00557123"/>
    <w:rsid w:val="00557B28"/>
    <w:rsid w:val="00560867"/>
    <w:rsid w:val="00560A29"/>
    <w:rsid w:val="00560C35"/>
    <w:rsid w:val="00560DD8"/>
    <w:rsid w:val="0056114E"/>
    <w:rsid w:val="0056138D"/>
    <w:rsid w:val="0056177B"/>
    <w:rsid w:val="005621B5"/>
    <w:rsid w:val="005633C0"/>
    <w:rsid w:val="0056356D"/>
    <w:rsid w:val="005636EA"/>
    <w:rsid w:val="005639FA"/>
    <w:rsid w:val="00564329"/>
    <w:rsid w:val="005645EF"/>
    <w:rsid w:val="00564657"/>
    <w:rsid w:val="00564754"/>
    <w:rsid w:val="0056519D"/>
    <w:rsid w:val="005651C0"/>
    <w:rsid w:val="0056520C"/>
    <w:rsid w:val="005659A5"/>
    <w:rsid w:val="00565EC4"/>
    <w:rsid w:val="00566130"/>
    <w:rsid w:val="005669F6"/>
    <w:rsid w:val="00566F61"/>
    <w:rsid w:val="00567217"/>
    <w:rsid w:val="0056761E"/>
    <w:rsid w:val="00567ADD"/>
    <w:rsid w:val="00567E28"/>
    <w:rsid w:val="00567E2F"/>
    <w:rsid w:val="00570737"/>
    <w:rsid w:val="00570A5D"/>
    <w:rsid w:val="00570D02"/>
    <w:rsid w:val="00571575"/>
    <w:rsid w:val="00571682"/>
    <w:rsid w:val="00571686"/>
    <w:rsid w:val="00571718"/>
    <w:rsid w:val="005719D5"/>
    <w:rsid w:val="00571DB6"/>
    <w:rsid w:val="00572604"/>
    <w:rsid w:val="005726F2"/>
    <w:rsid w:val="00572C99"/>
    <w:rsid w:val="00573094"/>
    <w:rsid w:val="00573BD6"/>
    <w:rsid w:val="00573F0A"/>
    <w:rsid w:val="005744C6"/>
    <w:rsid w:val="0057479F"/>
    <w:rsid w:val="005748E6"/>
    <w:rsid w:val="00574933"/>
    <w:rsid w:val="00574E04"/>
    <w:rsid w:val="00574F99"/>
    <w:rsid w:val="00575344"/>
    <w:rsid w:val="0057548F"/>
    <w:rsid w:val="00575562"/>
    <w:rsid w:val="005755D8"/>
    <w:rsid w:val="00575756"/>
    <w:rsid w:val="00576076"/>
    <w:rsid w:val="0057609A"/>
    <w:rsid w:val="0057611C"/>
    <w:rsid w:val="0057663E"/>
    <w:rsid w:val="005766AB"/>
    <w:rsid w:val="00576997"/>
    <w:rsid w:val="00576F75"/>
    <w:rsid w:val="00577A7F"/>
    <w:rsid w:val="00577F15"/>
    <w:rsid w:val="00580244"/>
    <w:rsid w:val="005802C3"/>
    <w:rsid w:val="005804D3"/>
    <w:rsid w:val="00580866"/>
    <w:rsid w:val="00580870"/>
    <w:rsid w:val="00580B69"/>
    <w:rsid w:val="00580F61"/>
    <w:rsid w:val="00581DE4"/>
    <w:rsid w:val="005825D4"/>
    <w:rsid w:val="00582785"/>
    <w:rsid w:val="00582AB0"/>
    <w:rsid w:val="00582B56"/>
    <w:rsid w:val="005838D6"/>
    <w:rsid w:val="00583B44"/>
    <w:rsid w:val="00583D83"/>
    <w:rsid w:val="0058402C"/>
    <w:rsid w:val="00584860"/>
    <w:rsid w:val="00584907"/>
    <w:rsid w:val="005849AC"/>
    <w:rsid w:val="00584A1C"/>
    <w:rsid w:val="00584CA1"/>
    <w:rsid w:val="00584CC8"/>
    <w:rsid w:val="00585244"/>
    <w:rsid w:val="005856AB"/>
    <w:rsid w:val="00585FE9"/>
    <w:rsid w:val="00585FF3"/>
    <w:rsid w:val="00586502"/>
    <w:rsid w:val="005865AF"/>
    <w:rsid w:val="0058681D"/>
    <w:rsid w:val="0058709B"/>
    <w:rsid w:val="00587548"/>
    <w:rsid w:val="00587998"/>
    <w:rsid w:val="00587E89"/>
    <w:rsid w:val="005900C7"/>
    <w:rsid w:val="005903FB"/>
    <w:rsid w:val="00590459"/>
    <w:rsid w:val="0059046A"/>
    <w:rsid w:val="00590546"/>
    <w:rsid w:val="00590AD7"/>
    <w:rsid w:val="005913B7"/>
    <w:rsid w:val="005915E7"/>
    <w:rsid w:val="00591627"/>
    <w:rsid w:val="00591ADC"/>
    <w:rsid w:val="00591B2C"/>
    <w:rsid w:val="0059200C"/>
    <w:rsid w:val="00592257"/>
    <w:rsid w:val="00592302"/>
    <w:rsid w:val="00592D6E"/>
    <w:rsid w:val="00592F6D"/>
    <w:rsid w:val="005930AA"/>
    <w:rsid w:val="005930F9"/>
    <w:rsid w:val="00593422"/>
    <w:rsid w:val="00593452"/>
    <w:rsid w:val="00593672"/>
    <w:rsid w:val="005942F8"/>
    <w:rsid w:val="00594823"/>
    <w:rsid w:val="00594989"/>
    <w:rsid w:val="00594B85"/>
    <w:rsid w:val="0059549B"/>
    <w:rsid w:val="0059555E"/>
    <w:rsid w:val="005959B1"/>
    <w:rsid w:val="00595AA5"/>
    <w:rsid w:val="005960B7"/>
    <w:rsid w:val="00596BFB"/>
    <w:rsid w:val="00596C2D"/>
    <w:rsid w:val="00597020"/>
    <w:rsid w:val="005972F5"/>
    <w:rsid w:val="00597B29"/>
    <w:rsid w:val="00597B2C"/>
    <w:rsid w:val="00597C0A"/>
    <w:rsid w:val="00597FDF"/>
    <w:rsid w:val="005A0644"/>
    <w:rsid w:val="005A0760"/>
    <w:rsid w:val="005A08F0"/>
    <w:rsid w:val="005A0F7D"/>
    <w:rsid w:val="005A1133"/>
    <w:rsid w:val="005A1865"/>
    <w:rsid w:val="005A228A"/>
    <w:rsid w:val="005A26C0"/>
    <w:rsid w:val="005A28EE"/>
    <w:rsid w:val="005A2C8D"/>
    <w:rsid w:val="005A2E95"/>
    <w:rsid w:val="005A3093"/>
    <w:rsid w:val="005A37C2"/>
    <w:rsid w:val="005A392F"/>
    <w:rsid w:val="005A3A06"/>
    <w:rsid w:val="005A3BEE"/>
    <w:rsid w:val="005A4C2E"/>
    <w:rsid w:val="005A55DB"/>
    <w:rsid w:val="005A5802"/>
    <w:rsid w:val="005A5A38"/>
    <w:rsid w:val="005A5A94"/>
    <w:rsid w:val="005A66BB"/>
    <w:rsid w:val="005A688A"/>
    <w:rsid w:val="005A696E"/>
    <w:rsid w:val="005A6C67"/>
    <w:rsid w:val="005A754A"/>
    <w:rsid w:val="005A7AEE"/>
    <w:rsid w:val="005A7F5F"/>
    <w:rsid w:val="005B0153"/>
    <w:rsid w:val="005B0343"/>
    <w:rsid w:val="005B14EB"/>
    <w:rsid w:val="005B1C10"/>
    <w:rsid w:val="005B1C5A"/>
    <w:rsid w:val="005B1F37"/>
    <w:rsid w:val="005B1F7B"/>
    <w:rsid w:val="005B200E"/>
    <w:rsid w:val="005B2431"/>
    <w:rsid w:val="005B26D3"/>
    <w:rsid w:val="005B2CFA"/>
    <w:rsid w:val="005B447A"/>
    <w:rsid w:val="005B4624"/>
    <w:rsid w:val="005B4CF9"/>
    <w:rsid w:val="005B4D8C"/>
    <w:rsid w:val="005B52F2"/>
    <w:rsid w:val="005B5915"/>
    <w:rsid w:val="005B5DBC"/>
    <w:rsid w:val="005B5FDE"/>
    <w:rsid w:val="005B61C0"/>
    <w:rsid w:val="005B6417"/>
    <w:rsid w:val="005B681E"/>
    <w:rsid w:val="005B73E4"/>
    <w:rsid w:val="005B7BA5"/>
    <w:rsid w:val="005C06B0"/>
    <w:rsid w:val="005C0A9E"/>
    <w:rsid w:val="005C0C0F"/>
    <w:rsid w:val="005C16D5"/>
    <w:rsid w:val="005C1893"/>
    <w:rsid w:val="005C1919"/>
    <w:rsid w:val="005C1AF7"/>
    <w:rsid w:val="005C200F"/>
    <w:rsid w:val="005C2165"/>
    <w:rsid w:val="005C2796"/>
    <w:rsid w:val="005C2883"/>
    <w:rsid w:val="005C2A67"/>
    <w:rsid w:val="005C2B7B"/>
    <w:rsid w:val="005C2CE0"/>
    <w:rsid w:val="005C3259"/>
    <w:rsid w:val="005C33F1"/>
    <w:rsid w:val="005C34CB"/>
    <w:rsid w:val="005C3C93"/>
    <w:rsid w:val="005C3D2E"/>
    <w:rsid w:val="005C3D46"/>
    <w:rsid w:val="005C3DAB"/>
    <w:rsid w:val="005C3DF9"/>
    <w:rsid w:val="005C3EE6"/>
    <w:rsid w:val="005C3FC0"/>
    <w:rsid w:val="005C4785"/>
    <w:rsid w:val="005C4B02"/>
    <w:rsid w:val="005C4F2B"/>
    <w:rsid w:val="005C542B"/>
    <w:rsid w:val="005C5895"/>
    <w:rsid w:val="005C62E9"/>
    <w:rsid w:val="005C6418"/>
    <w:rsid w:val="005C653E"/>
    <w:rsid w:val="005C69C4"/>
    <w:rsid w:val="005C6DE3"/>
    <w:rsid w:val="005C7089"/>
    <w:rsid w:val="005C7177"/>
    <w:rsid w:val="005C73C8"/>
    <w:rsid w:val="005C7688"/>
    <w:rsid w:val="005C76E0"/>
    <w:rsid w:val="005C7AE5"/>
    <w:rsid w:val="005C7BE5"/>
    <w:rsid w:val="005D03BE"/>
    <w:rsid w:val="005D169A"/>
    <w:rsid w:val="005D17B8"/>
    <w:rsid w:val="005D1958"/>
    <w:rsid w:val="005D1A71"/>
    <w:rsid w:val="005D1D2A"/>
    <w:rsid w:val="005D2148"/>
    <w:rsid w:val="005D2999"/>
    <w:rsid w:val="005D3352"/>
    <w:rsid w:val="005D33EF"/>
    <w:rsid w:val="005D371C"/>
    <w:rsid w:val="005D3802"/>
    <w:rsid w:val="005D3BC4"/>
    <w:rsid w:val="005D3EB7"/>
    <w:rsid w:val="005D41C8"/>
    <w:rsid w:val="005D46C5"/>
    <w:rsid w:val="005D5297"/>
    <w:rsid w:val="005D560F"/>
    <w:rsid w:val="005D56B7"/>
    <w:rsid w:val="005D63EB"/>
    <w:rsid w:val="005D644F"/>
    <w:rsid w:val="005D65A4"/>
    <w:rsid w:val="005D66CD"/>
    <w:rsid w:val="005D6C02"/>
    <w:rsid w:val="005D7688"/>
    <w:rsid w:val="005D794A"/>
    <w:rsid w:val="005D7A97"/>
    <w:rsid w:val="005D7DE2"/>
    <w:rsid w:val="005D7EB1"/>
    <w:rsid w:val="005E04A2"/>
    <w:rsid w:val="005E0599"/>
    <w:rsid w:val="005E0635"/>
    <w:rsid w:val="005E0805"/>
    <w:rsid w:val="005E11FD"/>
    <w:rsid w:val="005E1341"/>
    <w:rsid w:val="005E14A6"/>
    <w:rsid w:val="005E254A"/>
    <w:rsid w:val="005E2935"/>
    <w:rsid w:val="005E2AF9"/>
    <w:rsid w:val="005E2DB1"/>
    <w:rsid w:val="005E2EE0"/>
    <w:rsid w:val="005E3002"/>
    <w:rsid w:val="005E3D00"/>
    <w:rsid w:val="005E3E8E"/>
    <w:rsid w:val="005E3EBF"/>
    <w:rsid w:val="005E43D7"/>
    <w:rsid w:val="005E4952"/>
    <w:rsid w:val="005E497B"/>
    <w:rsid w:val="005E544E"/>
    <w:rsid w:val="005E56BD"/>
    <w:rsid w:val="005E5B6D"/>
    <w:rsid w:val="005E6355"/>
    <w:rsid w:val="005E688F"/>
    <w:rsid w:val="005E68F3"/>
    <w:rsid w:val="005E6E31"/>
    <w:rsid w:val="005E70AF"/>
    <w:rsid w:val="005E70FA"/>
    <w:rsid w:val="005E7113"/>
    <w:rsid w:val="005E7191"/>
    <w:rsid w:val="005E739A"/>
    <w:rsid w:val="005E770E"/>
    <w:rsid w:val="005E77D0"/>
    <w:rsid w:val="005E78CC"/>
    <w:rsid w:val="005E7BA3"/>
    <w:rsid w:val="005E7BAB"/>
    <w:rsid w:val="005E7E14"/>
    <w:rsid w:val="005E7F68"/>
    <w:rsid w:val="005F0FFE"/>
    <w:rsid w:val="005F11F4"/>
    <w:rsid w:val="005F1E42"/>
    <w:rsid w:val="005F1F40"/>
    <w:rsid w:val="005F203D"/>
    <w:rsid w:val="005F224A"/>
    <w:rsid w:val="005F2423"/>
    <w:rsid w:val="005F2CBB"/>
    <w:rsid w:val="005F2F10"/>
    <w:rsid w:val="005F3A40"/>
    <w:rsid w:val="005F3B1F"/>
    <w:rsid w:val="005F3FBE"/>
    <w:rsid w:val="005F4670"/>
    <w:rsid w:val="005F497B"/>
    <w:rsid w:val="005F537E"/>
    <w:rsid w:val="005F5B54"/>
    <w:rsid w:val="005F6031"/>
    <w:rsid w:val="005F62AF"/>
    <w:rsid w:val="005F6D63"/>
    <w:rsid w:val="005F7128"/>
    <w:rsid w:val="005F763F"/>
    <w:rsid w:val="005F78A4"/>
    <w:rsid w:val="005F7E6A"/>
    <w:rsid w:val="005F7F52"/>
    <w:rsid w:val="006003A0"/>
    <w:rsid w:val="00600576"/>
    <w:rsid w:val="006007AA"/>
    <w:rsid w:val="006007C7"/>
    <w:rsid w:val="006007D3"/>
    <w:rsid w:val="00600FF9"/>
    <w:rsid w:val="006015C1"/>
    <w:rsid w:val="00601BCA"/>
    <w:rsid w:val="00601E2C"/>
    <w:rsid w:val="00602479"/>
    <w:rsid w:val="0060260F"/>
    <w:rsid w:val="006026A5"/>
    <w:rsid w:val="0060293F"/>
    <w:rsid w:val="00602CC0"/>
    <w:rsid w:val="00602E41"/>
    <w:rsid w:val="00602EBC"/>
    <w:rsid w:val="0060376A"/>
    <w:rsid w:val="006037C3"/>
    <w:rsid w:val="00603BDC"/>
    <w:rsid w:val="00604412"/>
    <w:rsid w:val="006047D3"/>
    <w:rsid w:val="00604DE0"/>
    <w:rsid w:val="00605ADD"/>
    <w:rsid w:val="00605E89"/>
    <w:rsid w:val="00606057"/>
    <w:rsid w:val="00606DEB"/>
    <w:rsid w:val="00607D5A"/>
    <w:rsid w:val="006108F7"/>
    <w:rsid w:val="00610955"/>
    <w:rsid w:val="006118E0"/>
    <w:rsid w:val="00611A3A"/>
    <w:rsid w:val="00611B99"/>
    <w:rsid w:val="006120B8"/>
    <w:rsid w:val="006135A0"/>
    <w:rsid w:val="006135E1"/>
    <w:rsid w:val="0061382E"/>
    <w:rsid w:val="00613DDB"/>
    <w:rsid w:val="006142C4"/>
    <w:rsid w:val="00614530"/>
    <w:rsid w:val="006145A5"/>
    <w:rsid w:val="00614C50"/>
    <w:rsid w:val="0061524D"/>
    <w:rsid w:val="00615719"/>
    <w:rsid w:val="00615908"/>
    <w:rsid w:val="006164C1"/>
    <w:rsid w:val="0061656B"/>
    <w:rsid w:val="0061692A"/>
    <w:rsid w:val="006169A1"/>
    <w:rsid w:val="00616A0C"/>
    <w:rsid w:val="00616DA3"/>
    <w:rsid w:val="00616F47"/>
    <w:rsid w:val="00617586"/>
    <w:rsid w:val="00617AE2"/>
    <w:rsid w:val="00617AF6"/>
    <w:rsid w:val="00617BB0"/>
    <w:rsid w:val="0062045D"/>
    <w:rsid w:val="006204E5"/>
    <w:rsid w:val="006207C6"/>
    <w:rsid w:val="0062098D"/>
    <w:rsid w:val="00620C20"/>
    <w:rsid w:val="00620C69"/>
    <w:rsid w:val="0062132D"/>
    <w:rsid w:val="00621537"/>
    <w:rsid w:val="0062157A"/>
    <w:rsid w:val="006216DE"/>
    <w:rsid w:val="00621A8A"/>
    <w:rsid w:val="00621AF4"/>
    <w:rsid w:val="006222A2"/>
    <w:rsid w:val="006224A7"/>
    <w:rsid w:val="00622690"/>
    <w:rsid w:val="006228B8"/>
    <w:rsid w:val="0062313C"/>
    <w:rsid w:val="00623658"/>
    <w:rsid w:val="00623693"/>
    <w:rsid w:val="0062395B"/>
    <w:rsid w:val="00623E47"/>
    <w:rsid w:val="00624521"/>
    <w:rsid w:val="00625001"/>
    <w:rsid w:val="00625CDE"/>
    <w:rsid w:val="00626000"/>
    <w:rsid w:val="0062600B"/>
    <w:rsid w:val="0062644A"/>
    <w:rsid w:val="00626770"/>
    <w:rsid w:val="00630AF6"/>
    <w:rsid w:val="00630B9D"/>
    <w:rsid w:val="006313D2"/>
    <w:rsid w:val="00631EF7"/>
    <w:rsid w:val="00632121"/>
    <w:rsid w:val="006321BD"/>
    <w:rsid w:val="00632E18"/>
    <w:rsid w:val="006337CE"/>
    <w:rsid w:val="00634499"/>
    <w:rsid w:val="006345FE"/>
    <w:rsid w:val="00634A56"/>
    <w:rsid w:val="0063623D"/>
    <w:rsid w:val="006362F5"/>
    <w:rsid w:val="006368B2"/>
    <w:rsid w:val="00636F9C"/>
    <w:rsid w:val="0063786F"/>
    <w:rsid w:val="006378AE"/>
    <w:rsid w:val="00637CB9"/>
    <w:rsid w:val="00640114"/>
    <w:rsid w:val="0064083C"/>
    <w:rsid w:val="00640EDA"/>
    <w:rsid w:val="0064131F"/>
    <w:rsid w:val="006418DF"/>
    <w:rsid w:val="006419F5"/>
    <w:rsid w:val="00641BA2"/>
    <w:rsid w:val="00642455"/>
    <w:rsid w:val="00642786"/>
    <w:rsid w:val="0064298E"/>
    <w:rsid w:val="00642C86"/>
    <w:rsid w:val="00643209"/>
    <w:rsid w:val="00643588"/>
    <w:rsid w:val="006435C8"/>
    <w:rsid w:val="00643D5F"/>
    <w:rsid w:val="00643D66"/>
    <w:rsid w:val="006442A0"/>
    <w:rsid w:val="006448B0"/>
    <w:rsid w:val="006448EB"/>
    <w:rsid w:val="00644F72"/>
    <w:rsid w:val="00645035"/>
    <w:rsid w:val="006458B1"/>
    <w:rsid w:val="00646218"/>
    <w:rsid w:val="0064635D"/>
    <w:rsid w:val="00646663"/>
    <w:rsid w:val="00646827"/>
    <w:rsid w:val="00646864"/>
    <w:rsid w:val="00646BAE"/>
    <w:rsid w:val="00646C7A"/>
    <w:rsid w:val="0064760C"/>
    <w:rsid w:val="0064765E"/>
    <w:rsid w:val="00647A09"/>
    <w:rsid w:val="00647F3D"/>
    <w:rsid w:val="006502A8"/>
    <w:rsid w:val="00650430"/>
    <w:rsid w:val="00650574"/>
    <w:rsid w:val="00650E90"/>
    <w:rsid w:val="00651385"/>
    <w:rsid w:val="00651D01"/>
    <w:rsid w:val="006521E5"/>
    <w:rsid w:val="00652BD1"/>
    <w:rsid w:val="00652FB1"/>
    <w:rsid w:val="006542BD"/>
    <w:rsid w:val="00654349"/>
    <w:rsid w:val="00654562"/>
    <w:rsid w:val="00654882"/>
    <w:rsid w:val="00654FFD"/>
    <w:rsid w:val="00655161"/>
    <w:rsid w:val="006553C8"/>
    <w:rsid w:val="00655509"/>
    <w:rsid w:val="006557F3"/>
    <w:rsid w:val="00655D93"/>
    <w:rsid w:val="00655E4B"/>
    <w:rsid w:val="006565F0"/>
    <w:rsid w:val="00656EA5"/>
    <w:rsid w:val="00657021"/>
    <w:rsid w:val="006571F6"/>
    <w:rsid w:val="0065731F"/>
    <w:rsid w:val="0065748F"/>
    <w:rsid w:val="00657709"/>
    <w:rsid w:val="006578CA"/>
    <w:rsid w:val="006606A7"/>
    <w:rsid w:val="00660EFB"/>
    <w:rsid w:val="00660F62"/>
    <w:rsid w:val="00661095"/>
    <w:rsid w:val="006611A2"/>
    <w:rsid w:val="006614D2"/>
    <w:rsid w:val="00661621"/>
    <w:rsid w:val="00662183"/>
    <w:rsid w:val="006626E7"/>
    <w:rsid w:val="00662C76"/>
    <w:rsid w:val="00662EF1"/>
    <w:rsid w:val="006631D7"/>
    <w:rsid w:val="0066375A"/>
    <w:rsid w:val="00663BD7"/>
    <w:rsid w:val="006645FB"/>
    <w:rsid w:val="00664B7B"/>
    <w:rsid w:val="00664E62"/>
    <w:rsid w:val="00665355"/>
    <w:rsid w:val="0066612C"/>
    <w:rsid w:val="00666484"/>
    <w:rsid w:val="006665A7"/>
    <w:rsid w:val="0066683E"/>
    <w:rsid w:val="00666D8A"/>
    <w:rsid w:val="00667C4A"/>
    <w:rsid w:val="00667E05"/>
    <w:rsid w:val="00667F75"/>
    <w:rsid w:val="00670249"/>
    <w:rsid w:val="0067026A"/>
    <w:rsid w:val="006708FF"/>
    <w:rsid w:val="006714C8"/>
    <w:rsid w:val="00671574"/>
    <w:rsid w:val="0067182C"/>
    <w:rsid w:val="00671F50"/>
    <w:rsid w:val="0067260F"/>
    <w:rsid w:val="00672B43"/>
    <w:rsid w:val="00673520"/>
    <w:rsid w:val="0067388B"/>
    <w:rsid w:val="00673BBC"/>
    <w:rsid w:val="00673FCA"/>
    <w:rsid w:val="00673FDF"/>
    <w:rsid w:val="0067460B"/>
    <w:rsid w:val="00674E28"/>
    <w:rsid w:val="00675200"/>
    <w:rsid w:val="00675E11"/>
    <w:rsid w:val="00675FDA"/>
    <w:rsid w:val="00676026"/>
    <w:rsid w:val="00676370"/>
    <w:rsid w:val="00676399"/>
    <w:rsid w:val="006763ED"/>
    <w:rsid w:val="00676790"/>
    <w:rsid w:val="00676BE5"/>
    <w:rsid w:val="006774C4"/>
    <w:rsid w:val="0068018C"/>
    <w:rsid w:val="0068018E"/>
    <w:rsid w:val="00680667"/>
    <w:rsid w:val="00680C30"/>
    <w:rsid w:val="00680C9F"/>
    <w:rsid w:val="00681178"/>
    <w:rsid w:val="00681361"/>
    <w:rsid w:val="00681770"/>
    <w:rsid w:val="00682475"/>
    <w:rsid w:val="00682599"/>
    <w:rsid w:val="00682DE8"/>
    <w:rsid w:val="0068303F"/>
    <w:rsid w:val="0068311F"/>
    <w:rsid w:val="00683D8E"/>
    <w:rsid w:val="00683F62"/>
    <w:rsid w:val="00684A71"/>
    <w:rsid w:val="00684E33"/>
    <w:rsid w:val="00685114"/>
    <w:rsid w:val="0068561B"/>
    <w:rsid w:val="00685D53"/>
    <w:rsid w:val="00685E4A"/>
    <w:rsid w:val="00685F3F"/>
    <w:rsid w:val="00686361"/>
    <w:rsid w:val="00686646"/>
    <w:rsid w:val="006867A9"/>
    <w:rsid w:val="006867B1"/>
    <w:rsid w:val="00686898"/>
    <w:rsid w:val="006868A7"/>
    <w:rsid w:val="00686FC0"/>
    <w:rsid w:val="0068723D"/>
    <w:rsid w:val="00687307"/>
    <w:rsid w:val="0068740A"/>
    <w:rsid w:val="00690111"/>
    <w:rsid w:val="00690ABE"/>
    <w:rsid w:val="00691028"/>
    <w:rsid w:val="0069115C"/>
    <w:rsid w:val="006913A7"/>
    <w:rsid w:val="006913F1"/>
    <w:rsid w:val="006917CF"/>
    <w:rsid w:val="00691BE0"/>
    <w:rsid w:val="00691C71"/>
    <w:rsid w:val="00691E09"/>
    <w:rsid w:val="006923BB"/>
    <w:rsid w:val="006923D7"/>
    <w:rsid w:val="0069280E"/>
    <w:rsid w:val="006929C0"/>
    <w:rsid w:val="00693679"/>
    <w:rsid w:val="00693DB8"/>
    <w:rsid w:val="00694843"/>
    <w:rsid w:val="006949C3"/>
    <w:rsid w:val="00694F11"/>
    <w:rsid w:val="0069539F"/>
    <w:rsid w:val="00695421"/>
    <w:rsid w:val="006954C1"/>
    <w:rsid w:val="0069574D"/>
    <w:rsid w:val="006958D7"/>
    <w:rsid w:val="00695E4D"/>
    <w:rsid w:val="00695FAF"/>
    <w:rsid w:val="00696020"/>
    <w:rsid w:val="006960C5"/>
    <w:rsid w:val="0069613A"/>
    <w:rsid w:val="00696452"/>
    <w:rsid w:val="0069653C"/>
    <w:rsid w:val="006970EF"/>
    <w:rsid w:val="0069728D"/>
    <w:rsid w:val="006973AD"/>
    <w:rsid w:val="006976EE"/>
    <w:rsid w:val="0069798E"/>
    <w:rsid w:val="00697D1C"/>
    <w:rsid w:val="006A02F3"/>
    <w:rsid w:val="006A03C6"/>
    <w:rsid w:val="006A0EE4"/>
    <w:rsid w:val="006A1A5E"/>
    <w:rsid w:val="006A2177"/>
    <w:rsid w:val="006A21E2"/>
    <w:rsid w:val="006A2243"/>
    <w:rsid w:val="006A270D"/>
    <w:rsid w:val="006A2FDB"/>
    <w:rsid w:val="006A341C"/>
    <w:rsid w:val="006A3F22"/>
    <w:rsid w:val="006A53A3"/>
    <w:rsid w:val="006A58E1"/>
    <w:rsid w:val="006A5EA6"/>
    <w:rsid w:val="006A5F0A"/>
    <w:rsid w:val="006A6023"/>
    <w:rsid w:val="006A627C"/>
    <w:rsid w:val="006A668B"/>
    <w:rsid w:val="006A6C16"/>
    <w:rsid w:val="006A6C20"/>
    <w:rsid w:val="006A6DC8"/>
    <w:rsid w:val="006A6F99"/>
    <w:rsid w:val="006A70E8"/>
    <w:rsid w:val="006A7152"/>
    <w:rsid w:val="006A727A"/>
    <w:rsid w:val="006A74E1"/>
    <w:rsid w:val="006A7542"/>
    <w:rsid w:val="006A75A9"/>
    <w:rsid w:val="006A75C2"/>
    <w:rsid w:val="006A75CE"/>
    <w:rsid w:val="006A7825"/>
    <w:rsid w:val="006A79DF"/>
    <w:rsid w:val="006A7DFD"/>
    <w:rsid w:val="006B00B7"/>
    <w:rsid w:val="006B06DD"/>
    <w:rsid w:val="006B0C87"/>
    <w:rsid w:val="006B0F23"/>
    <w:rsid w:val="006B0F6E"/>
    <w:rsid w:val="006B1648"/>
    <w:rsid w:val="006B16DC"/>
    <w:rsid w:val="006B1C7B"/>
    <w:rsid w:val="006B1D1C"/>
    <w:rsid w:val="006B223C"/>
    <w:rsid w:val="006B2744"/>
    <w:rsid w:val="006B2F5D"/>
    <w:rsid w:val="006B3844"/>
    <w:rsid w:val="006B3A5B"/>
    <w:rsid w:val="006B4118"/>
    <w:rsid w:val="006B4676"/>
    <w:rsid w:val="006B5057"/>
    <w:rsid w:val="006B5356"/>
    <w:rsid w:val="006B538D"/>
    <w:rsid w:val="006B598E"/>
    <w:rsid w:val="006B6174"/>
    <w:rsid w:val="006B6273"/>
    <w:rsid w:val="006B63FC"/>
    <w:rsid w:val="006B6A18"/>
    <w:rsid w:val="006B722F"/>
    <w:rsid w:val="006B7262"/>
    <w:rsid w:val="006B76E7"/>
    <w:rsid w:val="006B77F4"/>
    <w:rsid w:val="006B7F2C"/>
    <w:rsid w:val="006B7F8E"/>
    <w:rsid w:val="006C0509"/>
    <w:rsid w:val="006C09B5"/>
    <w:rsid w:val="006C146B"/>
    <w:rsid w:val="006C16C3"/>
    <w:rsid w:val="006C175E"/>
    <w:rsid w:val="006C1792"/>
    <w:rsid w:val="006C17C5"/>
    <w:rsid w:val="006C17DA"/>
    <w:rsid w:val="006C1CBC"/>
    <w:rsid w:val="006C2056"/>
    <w:rsid w:val="006C2A09"/>
    <w:rsid w:val="006C2A32"/>
    <w:rsid w:val="006C36C0"/>
    <w:rsid w:val="006C3AD8"/>
    <w:rsid w:val="006C3B48"/>
    <w:rsid w:val="006C3BE3"/>
    <w:rsid w:val="006C46BC"/>
    <w:rsid w:val="006C4735"/>
    <w:rsid w:val="006C473A"/>
    <w:rsid w:val="006C48D2"/>
    <w:rsid w:val="006C4E04"/>
    <w:rsid w:val="006C6772"/>
    <w:rsid w:val="006C6B2F"/>
    <w:rsid w:val="006C70EF"/>
    <w:rsid w:val="006C71F8"/>
    <w:rsid w:val="006C7B5D"/>
    <w:rsid w:val="006D0124"/>
    <w:rsid w:val="006D0E47"/>
    <w:rsid w:val="006D1AEA"/>
    <w:rsid w:val="006D251A"/>
    <w:rsid w:val="006D2619"/>
    <w:rsid w:val="006D2BCD"/>
    <w:rsid w:val="006D2CAB"/>
    <w:rsid w:val="006D2E2B"/>
    <w:rsid w:val="006D302C"/>
    <w:rsid w:val="006D311C"/>
    <w:rsid w:val="006D3458"/>
    <w:rsid w:val="006D360C"/>
    <w:rsid w:val="006D4413"/>
    <w:rsid w:val="006D4CE2"/>
    <w:rsid w:val="006D4D63"/>
    <w:rsid w:val="006D54BD"/>
    <w:rsid w:val="006D5826"/>
    <w:rsid w:val="006D5AD3"/>
    <w:rsid w:val="006D5CC4"/>
    <w:rsid w:val="006D5FC2"/>
    <w:rsid w:val="006D699A"/>
    <w:rsid w:val="006D7631"/>
    <w:rsid w:val="006D7C3E"/>
    <w:rsid w:val="006D7D9B"/>
    <w:rsid w:val="006E0157"/>
    <w:rsid w:val="006E057A"/>
    <w:rsid w:val="006E0B74"/>
    <w:rsid w:val="006E0C5B"/>
    <w:rsid w:val="006E0DBA"/>
    <w:rsid w:val="006E1281"/>
    <w:rsid w:val="006E14BB"/>
    <w:rsid w:val="006E177F"/>
    <w:rsid w:val="006E1BC9"/>
    <w:rsid w:val="006E1D3E"/>
    <w:rsid w:val="006E1DC1"/>
    <w:rsid w:val="006E1E67"/>
    <w:rsid w:val="006E200B"/>
    <w:rsid w:val="006E22BC"/>
    <w:rsid w:val="006E232C"/>
    <w:rsid w:val="006E2D72"/>
    <w:rsid w:val="006E3862"/>
    <w:rsid w:val="006E392D"/>
    <w:rsid w:val="006E3C8E"/>
    <w:rsid w:val="006E422D"/>
    <w:rsid w:val="006E456A"/>
    <w:rsid w:val="006E4818"/>
    <w:rsid w:val="006E4E32"/>
    <w:rsid w:val="006E4FD4"/>
    <w:rsid w:val="006E50BA"/>
    <w:rsid w:val="006E53F3"/>
    <w:rsid w:val="006E55F8"/>
    <w:rsid w:val="006E5A67"/>
    <w:rsid w:val="006E5BEE"/>
    <w:rsid w:val="006E603B"/>
    <w:rsid w:val="006E63A2"/>
    <w:rsid w:val="006E6600"/>
    <w:rsid w:val="006E6619"/>
    <w:rsid w:val="006E71F0"/>
    <w:rsid w:val="006E72E4"/>
    <w:rsid w:val="006E739C"/>
    <w:rsid w:val="006E760E"/>
    <w:rsid w:val="006E7666"/>
    <w:rsid w:val="006E7FC0"/>
    <w:rsid w:val="006F00C2"/>
    <w:rsid w:val="006F059A"/>
    <w:rsid w:val="006F1582"/>
    <w:rsid w:val="006F163A"/>
    <w:rsid w:val="006F170C"/>
    <w:rsid w:val="006F19A7"/>
    <w:rsid w:val="006F1A83"/>
    <w:rsid w:val="006F1AD9"/>
    <w:rsid w:val="006F1C68"/>
    <w:rsid w:val="006F2021"/>
    <w:rsid w:val="006F2516"/>
    <w:rsid w:val="006F2576"/>
    <w:rsid w:val="006F2618"/>
    <w:rsid w:val="006F2D77"/>
    <w:rsid w:val="006F3110"/>
    <w:rsid w:val="006F3666"/>
    <w:rsid w:val="006F4114"/>
    <w:rsid w:val="006F4551"/>
    <w:rsid w:val="006F45CC"/>
    <w:rsid w:val="006F462D"/>
    <w:rsid w:val="006F4F06"/>
    <w:rsid w:val="006F535E"/>
    <w:rsid w:val="006F5407"/>
    <w:rsid w:val="006F5692"/>
    <w:rsid w:val="006F56BE"/>
    <w:rsid w:val="006F5825"/>
    <w:rsid w:val="006F5934"/>
    <w:rsid w:val="006F6E6A"/>
    <w:rsid w:val="006F725B"/>
    <w:rsid w:val="006F76CA"/>
    <w:rsid w:val="006F7A0F"/>
    <w:rsid w:val="006F7B17"/>
    <w:rsid w:val="006F7D7B"/>
    <w:rsid w:val="006F7E48"/>
    <w:rsid w:val="006F7EE7"/>
    <w:rsid w:val="0070025E"/>
    <w:rsid w:val="00700567"/>
    <w:rsid w:val="00700A4B"/>
    <w:rsid w:val="00700B73"/>
    <w:rsid w:val="00700C75"/>
    <w:rsid w:val="007010DA"/>
    <w:rsid w:val="007012E1"/>
    <w:rsid w:val="00701828"/>
    <w:rsid w:val="007018BC"/>
    <w:rsid w:val="00701A95"/>
    <w:rsid w:val="007029F6"/>
    <w:rsid w:val="00702A60"/>
    <w:rsid w:val="00702D3D"/>
    <w:rsid w:val="00702D9D"/>
    <w:rsid w:val="007032F2"/>
    <w:rsid w:val="0070397C"/>
    <w:rsid w:val="00703B23"/>
    <w:rsid w:val="0070408C"/>
    <w:rsid w:val="00704D2E"/>
    <w:rsid w:val="00705398"/>
    <w:rsid w:val="00705518"/>
    <w:rsid w:val="007056FA"/>
    <w:rsid w:val="00705F65"/>
    <w:rsid w:val="007060F3"/>
    <w:rsid w:val="00706176"/>
    <w:rsid w:val="0070654A"/>
    <w:rsid w:val="0070689B"/>
    <w:rsid w:val="00706E38"/>
    <w:rsid w:val="0070715B"/>
    <w:rsid w:val="007071E2"/>
    <w:rsid w:val="0070726E"/>
    <w:rsid w:val="0070752A"/>
    <w:rsid w:val="007100BB"/>
    <w:rsid w:val="00711220"/>
    <w:rsid w:val="00711270"/>
    <w:rsid w:val="00711C5F"/>
    <w:rsid w:val="00711F93"/>
    <w:rsid w:val="0071257C"/>
    <w:rsid w:val="00712C21"/>
    <w:rsid w:val="007131AE"/>
    <w:rsid w:val="0071390C"/>
    <w:rsid w:val="00714108"/>
    <w:rsid w:val="007143CC"/>
    <w:rsid w:val="007147BA"/>
    <w:rsid w:val="00714AC6"/>
    <w:rsid w:val="007150D2"/>
    <w:rsid w:val="00715183"/>
    <w:rsid w:val="00715449"/>
    <w:rsid w:val="00715572"/>
    <w:rsid w:val="00715A44"/>
    <w:rsid w:val="00715A66"/>
    <w:rsid w:val="007164BF"/>
    <w:rsid w:val="0071684D"/>
    <w:rsid w:val="007169F7"/>
    <w:rsid w:val="00716BA2"/>
    <w:rsid w:val="007171C2"/>
    <w:rsid w:val="007174F1"/>
    <w:rsid w:val="00717AF0"/>
    <w:rsid w:val="00717E53"/>
    <w:rsid w:val="0072017C"/>
    <w:rsid w:val="00720486"/>
    <w:rsid w:val="00720673"/>
    <w:rsid w:val="007208AE"/>
    <w:rsid w:val="007208C5"/>
    <w:rsid w:val="00720D01"/>
    <w:rsid w:val="00720ECE"/>
    <w:rsid w:val="00721175"/>
    <w:rsid w:val="00721679"/>
    <w:rsid w:val="007216B8"/>
    <w:rsid w:val="0072184B"/>
    <w:rsid w:val="0072227E"/>
    <w:rsid w:val="00722BD7"/>
    <w:rsid w:val="00722DF8"/>
    <w:rsid w:val="007232D3"/>
    <w:rsid w:val="007236FA"/>
    <w:rsid w:val="0072405E"/>
    <w:rsid w:val="00724320"/>
    <w:rsid w:val="00724548"/>
    <w:rsid w:val="0072527C"/>
    <w:rsid w:val="007258C1"/>
    <w:rsid w:val="0072607B"/>
    <w:rsid w:val="00726303"/>
    <w:rsid w:val="00726CA6"/>
    <w:rsid w:val="00726D31"/>
    <w:rsid w:val="00726DE0"/>
    <w:rsid w:val="007276DF"/>
    <w:rsid w:val="00727CAD"/>
    <w:rsid w:val="00727D54"/>
    <w:rsid w:val="00727EFC"/>
    <w:rsid w:val="00730474"/>
    <w:rsid w:val="00730BD7"/>
    <w:rsid w:val="00730ED0"/>
    <w:rsid w:val="007310EF"/>
    <w:rsid w:val="0073148F"/>
    <w:rsid w:val="007314EB"/>
    <w:rsid w:val="0073197A"/>
    <w:rsid w:val="0073336A"/>
    <w:rsid w:val="0073338F"/>
    <w:rsid w:val="00733B15"/>
    <w:rsid w:val="00734005"/>
    <w:rsid w:val="00734175"/>
    <w:rsid w:val="00734304"/>
    <w:rsid w:val="00734405"/>
    <w:rsid w:val="0073464B"/>
    <w:rsid w:val="00734743"/>
    <w:rsid w:val="00734C93"/>
    <w:rsid w:val="00734CEF"/>
    <w:rsid w:val="007350AC"/>
    <w:rsid w:val="00735161"/>
    <w:rsid w:val="007355B9"/>
    <w:rsid w:val="00735ADE"/>
    <w:rsid w:val="00736228"/>
    <w:rsid w:val="00736297"/>
    <w:rsid w:val="007363B6"/>
    <w:rsid w:val="007365E7"/>
    <w:rsid w:val="00736CCB"/>
    <w:rsid w:val="00737238"/>
    <w:rsid w:val="00737B1B"/>
    <w:rsid w:val="00737BCF"/>
    <w:rsid w:val="00737BF9"/>
    <w:rsid w:val="00740243"/>
    <w:rsid w:val="00740353"/>
    <w:rsid w:val="007404D1"/>
    <w:rsid w:val="00740644"/>
    <w:rsid w:val="00740719"/>
    <w:rsid w:val="007408DA"/>
    <w:rsid w:val="00740DFC"/>
    <w:rsid w:val="0074110D"/>
    <w:rsid w:val="007412C1"/>
    <w:rsid w:val="00741641"/>
    <w:rsid w:val="007416AA"/>
    <w:rsid w:val="007420AF"/>
    <w:rsid w:val="00742679"/>
    <w:rsid w:val="00742E1F"/>
    <w:rsid w:val="00743267"/>
    <w:rsid w:val="00743459"/>
    <w:rsid w:val="00743E31"/>
    <w:rsid w:val="00744BE3"/>
    <w:rsid w:val="0074554C"/>
    <w:rsid w:val="00745BD2"/>
    <w:rsid w:val="00745D00"/>
    <w:rsid w:val="007464BB"/>
    <w:rsid w:val="00746545"/>
    <w:rsid w:val="007465A5"/>
    <w:rsid w:val="00746BEC"/>
    <w:rsid w:val="00746FB2"/>
    <w:rsid w:val="007471B4"/>
    <w:rsid w:val="007475B4"/>
    <w:rsid w:val="007475EF"/>
    <w:rsid w:val="007475FD"/>
    <w:rsid w:val="00747BCB"/>
    <w:rsid w:val="00747D59"/>
    <w:rsid w:val="00747E7A"/>
    <w:rsid w:val="00750159"/>
    <w:rsid w:val="0075084C"/>
    <w:rsid w:val="00750DE0"/>
    <w:rsid w:val="00751682"/>
    <w:rsid w:val="00751BCE"/>
    <w:rsid w:val="00751FC5"/>
    <w:rsid w:val="00752378"/>
    <w:rsid w:val="00752B95"/>
    <w:rsid w:val="00752C66"/>
    <w:rsid w:val="007533E7"/>
    <w:rsid w:val="00753475"/>
    <w:rsid w:val="007534A2"/>
    <w:rsid w:val="00753594"/>
    <w:rsid w:val="007538AD"/>
    <w:rsid w:val="007539AE"/>
    <w:rsid w:val="00753AF1"/>
    <w:rsid w:val="00753B4D"/>
    <w:rsid w:val="00753DDD"/>
    <w:rsid w:val="00753FC4"/>
    <w:rsid w:val="00754308"/>
    <w:rsid w:val="0075431D"/>
    <w:rsid w:val="00754540"/>
    <w:rsid w:val="007552E0"/>
    <w:rsid w:val="007552ED"/>
    <w:rsid w:val="00755419"/>
    <w:rsid w:val="0075552F"/>
    <w:rsid w:val="00755D75"/>
    <w:rsid w:val="0075654D"/>
    <w:rsid w:val="00757252"/>
    <w:rsid w:val="00757706"/>
    <w:rsid w:val="00757C6E"/>
    <w:rsid w:val="00760247"/>
    <w:rsid w:val="00760BD0"/>
    <w:rsid w:val="00760C8E"/>
    <w:rsid w:val="00760CDF"/>
    <w:rsid w:val="0076167D"/>
    <w:rsid w:val="0076198C"/>
    <w:rsid w:val="00761D8F"/>
    <w:rsid w:val="00761E76"/>
    <w:rsid w:val="00761EEE"/>
    <w:rsid w:val="00761F86"/>
    <w:rsid w:val="00761F87"/>
    <w:rsid w:val="00762C84"/>
    <w:rsid w:val="00764A27"/>
    <w:rsid w:val="00764EE6"/>
    <w:rsid w:val="007650CF"/>
    <w:rsid w:val="00765F5B"/>
    <w:rsid w:val="00766278"/>
    <w:rsid w:val="0076646F"/>
    <w:rsid w:val="0076691C"/>
    <w:rsid w:val="0076698F"/>
    <w:rsid w:val="00766D8B"/>
    <w:rsid w:val="00766FDE"/>
    <w:rsid w:val="00767433"/>
    <w:rsid w:val="007674BA"/>
    <w:rsid w:val="0076760E"/>
    <w:rsid w:val="00767BD2"/>
    <w:rsid w:val="00767CEC"/>
    <w:rsid w:val="007700A0"/>
    <w:rsid w:val="0077030B"/>
    <w:rsid w:val="00770661"/>
    <w:rsid w:val="00770867"/>
    <w:rsid w:val="007708BE"/>
    <w:rsid w:val="00770A1F"/>
    <w:rsid w:val="00770C83"/>
    <w:rsid w:val="00771380"/>
    <w:rsid w:val="00771FF2"/>
    <w:rsid w:val="00772495"/>
    <w:rsid w:val="0077251C"/>
    <w:rsid w:val="00772F3C"/>
    <w:rsid w:val="00773A83"/>
    <w:rsid w:val="00773B66"/>
    <w:rsid w:val="00773E1F"/>
    <w:rsid w:val="00774935"/>
    <w:rsid w:val="00774A7B"/>
    <w:rsid w:val="00774D1B"/>
    <w:rsid w:val="00775058"/>
    <w:rsid w:val="007755CB"/>
    <w:rsid w:val="0077574E"/>
    <w:rsid w:val="007759AB"/>
    <w:rsid w:val="007761CB"/>
    <w:rsid w:val="0077621F"/>
    <w:rsid w:val="00776B8B"/>
    <w:rsid w:val="00776E8F"/>
    <w:rsid w:val="0077792C"/>
    <w:rsid w:val="00777B35"/>
    <w:rsid w:val="00777E3F"/>
    <w:rsid w:val="00780A25"/>
    <w:rsid w:val="00781F8F"/>
    <w:rsid w:val="007820ED"/>
    <w:rsid w:val="0078265F"/>
    <w:rsid w:val="007827B4"/>
    <w:rsid w:val="00782868"/>
    <w:rsid w:val="00782959"/>
    <w:rsid w:val="0078327E"/>
    <w:rsid w:val="007835E1"/>
    <w:rsid w:val="00783948"/>
    <w:rsid w:val="00783E55"/>
    <w:rsid w:val="00784107"/>
    <w:rsid w:val="007842A2"/>
    <w:rsid w:val="007844EB"/>
    <w:rsid w:val="00784A2A"/>
    <w:rsid w:val="00784A62"/>
    <w:rsid w:val="00784AA3"/>
    <w:rsid w:val="00784F48"/>
    <w:rsid w:val="00784F81"/>
    <w:rsid w:val="0078578A"/>
    <w:rsid w:val="007857A2"/>
    <w:rsid w:val="0078596D"/>
    <w:rsid w:val="00786088"/>
    <w:rsid w:val="0078632C"/>
    <w:rsid w:val="00786EDF"/>
    <w:rsid w:val="00787618"/>
    <w:rsid w:val="00787668"/>
    <w:rsid w:val="00787A20"/>
    <w:rsid w:val="00790542"/>
    <w:rsid w:val="007908EB"/>
    <w:rsid w:val="007916E7"/>
    <w:rsid w:val="00792894"/>
    <w:rsid w:val="00792D17"/>
    <w:rsid w:val="007930AF"/>
    <w:rsid w:val="007933AC"/>
    <w:rsid w:val="00793674"/>
    <w:rsid w:val="00793E44"/>
    <w:rsid w:val="00794915"/>
    <w:rsid w:val="00794D04"/>
    <w:rsid w:val="00794D70"/>
    <w:rsid w:val="00795588"/>
    <w:rsid w:val="007957C7"/>
    <w:rsid w:val="00795BB7"/>
    <w:rsid w:val="00795D3E"/>
    <w:rsid w:val="00796C36"/>
    <w:rsid w:val="00797A68"/>
    <w:rsid w:val="00797A8D"/>
    <w:rsid w:val="007A08EE"/>
    <w:rsid w:val="007A0F3E"/>
    <w:rsid w:val="007A115F"/>
    <w:rsid w:val="007A12FB"/>
    <w:rsid w:val="007A1458"/>
    <w:rsid w:val="007A1A83"/>
    <w:rsid w:val="007A2066"/>
    <w:rsid w:val="007A2156"/>
    <w:rsid w:val="007A283B"/>
    <w:rsid w:val="007A29B7"/>
    <w:rsid w:val="007A2FBD"/>
    <w:rsid w:val="007A33C1"/>
    <w:rsid w:val="007A37DC"/>
    <w:rsid w:val="007A3905"/>
    <w:rsid w:val="007A39BA"/>
    <w:rsid w:val="007A3B10"/>
    <w:rsid w:val="007A3B80"/>
    <w:rsid w:val="007A40AB"/>
    <w:rsid w:val="007A4198"/>
    <w:rsid w:val="007A49B9"/>
    <w:rsid w:val="007A4ACF"/>
    <w:rsid w:val="007A4CC2"/>
    <w:rsid w:val="007A4E8B"/>
    <w:rsid w:val="007A53D8"/>
    <w:rsid w:val="007A58B3"/>
    <w:rsid w:val="007A5E06"/>
    <w:rsid w:val="007A629E"/>
    <w:rsid w:val="007A67AF"/>
    <w:rsid w:val="007A6897"/>
    <w:rsid w:val="007A6995"/>
    <w:rsid w:val="007A7552"/>
    <w:rsid w:val="007A7634"/>
    <w:rsid w:val="007A7935"/>
    <w:rsid w:val="007A7943"/>
    <w:rsid w:val="007A7A79"/>
    <w:rsid w:val="007A7C33"/>
    <w:rsid w:val="007A7F9A"/>
    <w:rsid w:val="007B0302"/>
    <w:rsid w:val="007B0725"/>
    <w:rsid w:val="007B0A6F"/>
    <w:rsid w:val="007B0B4B"/>
    <w:rsid w:val="007B1154"/>
    <w:rsid w:val="007B186A"/>
    <w:rsid w:val="007B1DE1"/>
    <w:rsid w:val="007B1F7A"/>
    <w:rsid w:val="007B22CA"/>
    <w:rsid w:val="007B282A"/>
    <w:rsid w:val="007B2DC1"/>
    <w:rsid w:val="007B2DE1"/>
    <w:rsid w:val="007B2DF4"/>
    <w:rsid w:val="007B3419"/>
    <w:rsid w:val="007B345C"/>
    <w:rsid w:val="007B53CE"/>
    <w:rsid w:val="007B5864"/>
    <w:rsid w:val="007B5A3A"/>
    <w:rsid w:val="007B5B11"/>
    <w:rsid w:val="007B604C"/>
    <w:rsid w:val="007B6433"/>
    <w:rsid w:val="007B699D"/>
    <w:rsid w:val="007B6BC1"/>
    <w:rsid w:val="007B7927"/>
    <w:rsid w:val="007B7DF9"/>
    <w:rsid w:val="007B7E75"/>
    <w:rsid w:val="007C01A9"/>
    <w:rsid w:val="007C0286"/>
    <w:rsid w:val="007C04B5"/>
    <w:rsid w:val="007C0EAD"/>
    <w:rsid w:val="007C12E0"/>
    <w:rsid w:val="007C1B17"/>
    <w:rsid w:val="007C1B4D"/>
    <w:rsid w:val="007C2821"/>
    <w:rsid w:val="007C2F2B"/>
    <w:rsid w:val="007C307F"/>
    <w:rsid w:val="007C3553"/>
    <w:rsid w:val="007C3840"/>
    <w:rsid w:val="007C3890"/>
    <w:rsid w:val="007C4067"/>
    <w:rsid w:val="007C42A3"/>
    <w:rsid w:val="007C4354"/>
    <w:rsid w:val="007C45BC"/>
    <w:rsid w:val="007C4774"/>
    <w:rsid w:val="007C48DF"/>
    <w:rsid w:val="007C4AC9"/>
    <w:rsid w:val="007C4D5F"/>
    <w:rsid w:val="007C524F"/>
    <w:rsid w:val="007C5670"/>
    <w:rsid w:val="007C5B61"/>
    <w:rsid w:val="007C5D4E"/>
    <w:rsid w:val="007C5F12"/>
    <w:rsid w:val="007C5F24"/>
    <w:rsid w:val="007C63AF"/>
    <w:rsid w:val="007C654C"/>
    <w:rsid w:val="007C7025"/>
    <w:rsid w:val="007C75A2"/>
    <w:rsid w:val="007D0064"/>
    <w:rsid w:val="007D05CB"/>
    <w:rsid w:val="007D1053"/>
    <w:rsid w:val="007D127B"/>
    <w:rsid w:val="007D13C6"/>
    <w:rsid w:val="007D189D"/>
    <w:rsid w:val="007D20EF"/>
    <w:rsid w:val="007D222A"/>
    <w:rsid w:val="007D2A0A"/>
    <w:rsid w:val="007D2B44"/>
    <w:rsid w:val="007D315D"/>
    <w:rsid w:val="007D3274"/>
    <w:rsid w:val="007D3B4C"/>
    <w:rsid w:val="007D3DCF"/>
    <w:rsid w:val="007D422E"/>
    <w:rsid w:val="007D49A7"/>
    <w:rsid w:val="007D4ECB"/>
    <w:rsid w:val="007D5125"/>
    <w:rsid w:val="007D5219"/>
    <w:rsid w:val="007D582B"/>
    <w:rsid w:val="007D5941"/>
    <w:rsid w:val="007D619E"/>
    <w:rsid w:val="007D6738"/>
    <w:rsid w:val="007D68AB"/>
    <w:rsid w:val="007D6BE8"/>
    <w:rsid w:val="007D6D7B"/>
    <w:rsid w:val="007D6DDF"/>
    <w:rsid w:val="007D7214"/>
    <w:rsid w:val="007D72DE"/>
    <w:rsid w:val="007D7402"/>
    <w:rsid w:val="007D7679"/>
    <w:rsid w:val="007D79ED"/>
    <w:rsid w:val="007D7C34"/>
    <w:rsid w:val="007E0320"/>
    <w:rsid w:val="007E0913"/>
    <w:rsid w:val="007E092D"/>
    <w:rsid w:val="007E0C63"/>
    <w:rsid w:val="007E0D46"/>
    <w:rsid w:val="007E107B"/>
    <w:rsid w:val="007E122A"/>
    <w:rsid w:val="007E138F"/>
    <w:rsid w:val="007E1494"/>
    <w:rsid w:val="007E2368"/>
    <w:rsid w:val="007E2427"/>
    <w:rsid w:val="007E25B0"/>
    <w:rsid w:val="007E2851"/>
    <w:rsid w:val="007E30D8"/>
    <w:rsid w:val="007E385E"/>
    <w:rsid w:val="007E3A1D"/>
    <w:rsid w:val="007E44C3"/>
    <w:rsid w:val="007E5BFB"/>
    <w:rsid w:val="007E626B"/>
    <w:rsid w:val="007E679F"/>
    <w:rsid w:val="007E699D"/>
    <w:rsid w:val="007E712E"/>
    <w:rsid w:val="007E741D"/>
    <w:rsid w:val="007E7F46"/>
    <w:rsid w:val="007F0DD9"/>
    <w:rsid w:val="007F0DEF"/>
    <w:rsid w:val="007F14DA"/>
    <w:rsid w:val="007F1A06"/>
    <w:rsid w:val="007F1B4B"/>
    <w:rsid w:val="007F299F"/>
    <w:rsid w:val="007F317D"/>
    <w:rsid w:val="007F3AAC"/>
    <w:rsid w:val="007F47E3"/>
    <w:rsid w:val="007F51E1"/>
    <w:rsid w:val="007F5215"/>
    <w:rsid w:val="007F56EE"/>
    <w:rsid w:val="007F5ABD"/>
    <w:rsid w:val="007F5BA4"/>
    <w:rsid w:val="007F5BE2"/>
    <w:rsid w:val="007F5C0B"/>
    <w:rsid w:val="007F65BB"/>
    <w:rsid w:val="007F6772"/>
    <w:rsid w:val="007F67BB"/>
    <w:rsid w:val="007F684A"/>
    <w:rsid w:val="007F6BAA"/>
    <w:rsid w:val="007F6BF2"/>
    <w:rsid w:val="007F6DB8"/>
    <w:rsid w:val="007F7587"/>
    <w:rsid w:val="007F796B"/>
    <w:rsid w:val="007F7EE1"/>
    <w:rsid w:val="00800915"/>
    <w:rsid w:val="0080136F"/>
    <w:rsid w:val="00801416"/>
    <w:rsid w:val="00802829"/>
    <w:rsid w:val="008030B8"/>
    <w:rsid w:val="008031AB"/>
    <w:rsid w:val="008032E9"/>
    <w:rsid w:val="00803932"/>
    <w:rsid w:val="00803C79"/>
    <w:rsid w:val="00804004"/>
    <w:rsid w:val="008042B4"/>
    <w:rsid w:val="008045F3"/>
    <w:rsid w:val="00804F37"/>
    <w:rsid w:val="00805146"/>
    <w:rsid w:val="00805968"/>
    <w:rsid w:val="00806273"/>
    <w:rsid w:val="008064E9"/>
    <w:rsid w:val="00807268"/>
    <w:rsid w:val="008073DB"/>
    <w:rsid w:val="0080744F"/>
    <w:rsid w:val="00807B93"/>
    <w:rsid w:val="00810361"/>
    <w:rsid w:val="008105F8"/>
    <w:rsid w:val="00810631"/>
    <w:rsid w:val="00810F7A"/>
    <w:rsid w:val="00811184"/>
    <w:rsid w:val="008115C1"/>
    <w:rsid w:val="00811A15"/>
    <w:rsid w:val="00811EC3"/>
    <w:rsid w:val="00813C2A"/>
    <w:rsid w:val="00813C79"/>
    <w:rsid w:val="00813E9F"/>
    <w:rsid w:val="00814211"/>
    <w:rsid w:val="008147B7"/>
    <w:rsid w:val="00814A13"/>
    <w:rsid w:val="00814B19"/>
    <w:rsid w:val="00814BC6"/>
    <w:rsid w:val="00814F77"/>
    <w:rsid w:val="00815D28"/>
    <w:rsid w:val="008162CF"/>
    <w:rsid w:val="008165D2"/>
    <w:rsid w:val="00817446"/>
    <w:rsid w:val="00817C45"/>
    <w:rsid w:val="0081C79A"/>
    <w:rsid w:val="008204B2"/>
    <w:rsid w:val="00820D9A"/>
    <w:rsid w:val="00821309"/>
    <w:rsid w:val="008214C7"/>
    <w:rsid w:val="00821661"/>
    <w:rsid w:val="00821CEA"/>
    <w:rsid w:val="00821F87"/>
    <w:rsid w:val="008223C8"/>
    <w:rsid w:val="00822981"/>
    <w:rsid w:val="00822AF6"/>
    <w:rsid w:val="00822B19"/>
    <w:rsid w:val="00823109"/>
    <w:rsid w:val="008231A2"/>
    <w:rsid w:val="00823A2B"/>
    <w:rsid w:val="008242A3"/>
    <w:rsid w:val="008242F7"/>
    <w:rsid w:val="00824DB5"/>
    <w:rsid w:val="00825005"/>
    <w:rsid w:val="008250BC"/>
    <w:rsid w:val="00825239"/>
    <w:rsid w:val="008262FA"/>
    <w:rsid w:val="0082659E"/>
    <w:rsid w:val="00826B6F"/>
    <w:rsid w:val="00826DE5"/>
    <w:rsid w:val="00827135"/>
    <w:rsid w:val="00827430"/>
    <w:rsid w:val="00830016"/>
    <w:rsid w:val="008300D6"/>
    <w:rsid w:val="00830AD1"/>
    <w:rsid w:val="00830D07"/>
    <w:rsid w:val="008312EC"/>
    <w:rsid w:val="00831CFC"/>
    <w:rsid w:val="00831F37"/>
    <w:rsid w:val="00831FEF"/>
    <w:rsid w:val="00831FF0"/>
    <w:rsid w:val="008324BD"/>
    <w:rsid w:val="00832FDF"/>
    <w:rsid w:val="00833229"/>
    <w:rsid w:val="008337BD"/>
    <w:rsid w:val="008338AF"/>
    <w:rsid w:val="00833AB7"/>
    <w:rsid w:val="00833D4C"/>
    <w:rsid w:val="0083437B"/>
    <w:rsid w:val="0083439E"/>
    <w:rsid w:val="0083466D"/>
    <w:rsid w:val="008347ED"/>
    <w:rsid w:val="00834AB0"/>
    <w:rsid w:val="00834DBE"/>
    <w:rsid w:val="00834F67"/>
    <w:rsid w:val="00834FD2"/>
    <w:rsid w:val="00835DC8"/>
    <w:rsid w:val="00835E76"/>
    <w:rsid w:val="00835E85"/>
    <w:rsid w:val="008361D6"/>
    <w:rsid w:val="00836BB9"/>
    <w:rsid w:val="00837882"/>
    <w:rsid w:val="00837AA0"/>
    <w:rsid w:val="00837EF7"/>
    <w:rsid w:val="00840109"/>
    <w:rsid w:val="00840938"/>
    <w:rsid w:val="0084100D"/>
    <w:rsid w:val="00841177"/>
    <w:rsid w:val="00841689"/>
    <w:rsid w:val="0084225D"/>
    <w:rsid w:val="00842329"/>
    <w:rsid w:val="00842598"/>
    <w:rsid w:val="00843304"/>
    <w:rsid w:val="008435B6"/>
    <w:rsid w:val="00843629"/>
    <w:rsid w:val="00843643"/>
    <w:rsid w:val="00843A0D"/>
    <w:rsid w:val="00843E62"/>
    <w:rsid w:val="00844194"/>
    <w:rsid w:val="008444D3"/>
    <w:rsid w:val="00844578"/>
    <w:rsid w:val="008447E6"/>
    <w:rsid w:val="0084486A"/>
    <w:rsid w:val="00844A79"/>
    <w:rsid w:val="00844BEE"/>
    <w:rsid w:val="00844D82"/>
    <w:rsid w:val="00844E0B"/>
    <w:rsid w:val="00844F2F"/>
    <w:rsid w:val="00844F46"/>
    <w:rsid w:val="00845730"/>
    <w:rsid w:val="00845A0C"/>
    <w:rsid w:val="00845B72"/>
    <w:rsid w:val="00845BB4"/>
    <w:rsid w:val="00845FE4"/>
    <w:rsid w:val="00846145"/>
    <w:rsid w:val="00846479"/>
    <w:rsid w:val="00846F4F"/>
    <w:rsid w:val="00846FBD"/>
    <w:rsid w:val="00847072"/>
    <w:rsid w:val="00847421"/>
    <w:rsid w:val="0084743C"/>
    <w:rsid w:val="008474BC"/>
    <w:rsid w:val="00847689"/>
    <w:rsid w:val="00847D19"/>
    <w:rsid w:val="00847E38"/>
    <w:rsid w:val="00847FC6"/>
    <w:rsid w:val="008502E9"/>
    <w:rsid w:val="00850A5E"/>
    <w:rsid w:val="00850C83"/>
    <w:rsid w:val="00850E09"/>
    <w:rsid w:val="00850EFE"/>
    <w:rsid w:val="00850F81"/>
    <w:rsid w:val="00851399"/>
    <w:rsid w:val="00851487"/>
    <w:rsid w:val="008516B3"/>
    <w:rsid w:val="00851A73"/>
    <w:rsid w:val="008523F5"/>
    <w:rsid w:val="00852B34"/>
    <w:rsid w:val="00852EA4"/>
    <w:rsid w:val="00853002"/>
    <w:rsid w:val="00853532"/>
    <w:rsid w:val="00853BDF"/>
    <w:rsid w:val="00853C25"/>
    <w:rsid w:val="00853EF0"/>
    <w:rsid w:val="00854084"/>
    <w:rsid w:val="008549A3"/>
    <w:rsid w:val="00854BC9"/>
    <w:rsid w:val="00854CBB"/>
    <w:rsid w:val="00855CE7"/>
    <w:rsid w:val="00855F59"/>
    <w:rsid w:val="00856B3D"/>
    <w:rsid w:val="00857F1B"/>
    <w:rsid w:val="00860C94"/>
    <w:rsid w:val="00860C95"/>
    <w:rsid w:val="008610D3"/>
    <w:rsid w:val="00861A70"/>
    <w:rsid w:val="0086235F"/>
    <w:rsid w:val="008629CF"/>
    <w:rsid w:val="00862F31"/>
    <w:rsid w:val="0086374E"/>
    <w:rsid w:val="00863B96"/>
    <w:rsid w:val="00863CF3"/>
    <w:rsid w:val="00864194"/>
    <w:rsid w:val="00864692"/>
    <w:rsid w:val="00864973"/>
    <w:rsid w:val="00864BF1"/>
    <w:rsid w:val="008667C4"/>
    <w:rsid w:val="00866D68"/>
    <w:rsid w:val="008673B4"/>
    <w:rsid w:val="008677FA"/>
    <w:rsid w:val="00867AD0"/>
    <w:rsid w:val="00867B1E"/>
    <w:rsid w:val="00870354"/>
    <w:rsid w:val="00871166"/>
    <w:rsid w:val="008712BB"/>
    <w:rsid w:val="0087156A"/>
    <w:rsid w:val="00871E39"/>
    <w:rsid w:val="0087244C"/>
    <w:rsid w:val="00872760"/>
    <w:rsid w:val="00872C05"/>
    <w:rsid w:val="00873204"/>
    <w:rsid w:val="008738B3"/>
    <w:rsid w:val="00873C35"/>
    <w:rsid w:val="00873E80"/>
    <w:rsid w:val="008742F4"/>
    <w:rsid w:val="0087474F"/>
    <w:rsid w:val="008748E5"/>
    <w:rsid w:val="00875738"/>
    <w:rsid w:val="00875741"/>
    <w:rsid w:val="00876000"/>
    <w:rsid w:val="00876AEC"/>
    <w:rsid w:val="0087747B"/>
    <w:rsid w:val="0087786A"/>
    <w:rsid w:val="00877B94"/>
    <w:rsid w:val="00880186"/>
    <w:rsid w:val="008801BE"/>
    <w:rsid w:val="008806DC"/>
    <w:rsid w:val="00880C8F"/>
    <w:rsid w:val="00880E9C"/>
    <w:rsid w:val="0088142D"/>
    <w:rsid w:val="00881510"/>
    <w:rsid w:val="008815AB"/>
    <w:rsid w:val="008815C2"/>
    <w:rsid w:val="00881712"/>
    <w:rsid w:val="00881CA7"/>
    <w:rsid w:val="008821F5"/>
    <w:rsid w:val="00883B9E"/>
    <w:rsid w:val="008849CB"/>
    <w:rsid w:val="00884D21"/>
    <w:rsid w:val="00885143"/>
    <w:rsid w:val="00885180"/>
    <w:rsid w:val="00885A4B"/>
    <w:rsid w:val="00885CA9"/>
    <w:rsid w:val="00885F6F"/>
    <w:rsid w:val="00886295"/>
    <w:rsid w:val="00886327"/>
    <w:rsid w:val="00886A5E"/>
    <w:rsid w:val="00886B7A"/>
    <w:rsid w:val="00886DA2"/>
    <w:rsid w:val="00886F25"/>
    <w:rsid w:val="0088765B"/>
    <w:rsid w:val="00887781"/>
    <w:rsid w:val="008902F1"/>
    <w:rsid w:val="008904D4"/>
    <w:rsid w:val="008908A0"/>
    <w:rsid w:val="00890947"/>
    <w:rsid w:val="00890B18"/>
    <w:rsid w:val="00890E34"/>
    <w:rsid w:val="00890E62"/>
    <w:rsid w:val="008914DF"/>
    <w:rsid w:val="00891579"/>
    <w:rsid w:val="00891AE9"/>
    <w:rsid w:val="00891B47"/>
    <w:rsid w:val="00892298"/>
    <w:rsid w:val="0089237E"/>
    <w:rsid w:val="00892522"/>
    <w:rsid w:val="00893750"/>
    <w:rsid w:val="0089410F"/>
    <w:rsid w:val="0089415B"/>
    <w:rsid w:val="00894879"/>
    <w:rsid w:val="008949C1"/>
    <w:rsid w:val="0089514B"/>
    <w:rsid w:val="0089514D"/>
    <w:rsid w:val="0089575F"/>
    <w:rsid w:val="0089579E"/>
    <w:rsid w:val="00896600"/>
    <w:rsid w:val="00896817"/>
    <w:rsid w:val="008969AC"/>
    <w:rsid w:val="00896B17"/>
    <w:rsid w:val="00896B57"/>
    <w:rsid w:val="00896C6E"/>
    <w:rsid w:val="00896E59"/>
    <w:rsid w:val="00897484"/>
    <w:rsid w:val="00897887"/>
    <w:rsid w:val="00897E8F"/>
    <w:rsid w:val="008A01B4"/>
    <w:rsid w:val="008A01E7"/>
    <w:rsid w:val="008A0892"/>
    <w:rsid w:val="008A08AB"/>
    <w:rsid w:val="008A0DBF"/>
    <w:rsid w:val="008A1376"/>
    <w:rsid w:val="008A13B2"/>
    <w:rsid w:val="008A1726"/>
    <w:rsid w:val="008A1943"/>
    <w:rsid w:val="008A1D49"/>
    <w:rsid w:val="008A1DF7"/>
    <w:rsid w:val="008A1E62"/>
    <w:rsid w:val="008A30CA"/>
    <w:rsid w:val="008A3260"/>
    <w:rsid w:val="008A3C78"/>
    <w:rsid w:val="008A3E11"/>
    <w:rsid w:val="008A4083"/>
    <w:rsid w:val="008A4114"/>
    <w:rsid w:val="008A43EA"/>
    <w:rsid w:val="008A4A7C"/>
    <w:rsid w:val="008A4C15"/>
    <w:rsid w:val="008A5084"/>
    <w:rsid w:val="008A5370"/>
    <w:rsid w:val="008A5662"/>
    <w:rsid w:val="008A56C0"/>
    <w:rsid w:val="008A56F0"/>
    <w:rsid w:val="008A5836"/>
    <w:rsid w:val="008A5843"/>
    <w:rsid w:val="008A5BF3"/>
    <w:rsid w:val="008A5D4A"/>
    <w:rsid w:val="008A5D7B"/>
    <w:rsid w:val="008A6C20"/>
    <w:rsid w:val="008A7963"/>
    <w:rsid w:val="008A7E92"/>
    <w:rsid w:val="008B017F"/>
    <w:rsid w:val="008B0A72"/>
    <w:rsid w:val="008B0CE6"/>
    <w:rsid w:val="008B0F7C"/>
    <w:rsid w:val="008B1245"/>
    <w:rsid w:val="008B131D"/>
    <w:rsid w:val="008B15EF"/>
    <w:rsid w:val="008B1CE9"/>
    <w:rsid w:val="008B2175"/>
    <w:rsid w:val="008B22CF"/>
    <w:rsid w:val="008B25FA"/>
    <w:rsid w:val="008B26FC"/>
    <w:rsid w:val="008B3902"/>
    <w:rsid w:val="008B3CE8"/>
    <w:rsid w:val="008B3D52"/>
    <w:rsid w:val="008B3DCB"/>
    <w:rsid w:val="008B4191"/>
    <w:rsid w:val="008B4334"/>
    <w:rsid w:val="008B4AB4"/>
    <w:rsid w:val="008B5037"/>
    <w:rsid w:val="008B5046"/>
    <w:rsid w:val="008B52B0"/>
    <w:rsid w:val="008B5813"/>
    <w:rsid w:val="008B5903"/>
    <w:rsid w:val="008B5FD8"/>
    <w:rsid w:val="008B659D"/>
    <w:rsid w:val="008B69B9"/>
    <w:rsid w:val="008B6B45"/>
    <w:rsid w:val="008B72A3"/>
    <w:rsid w:val="008B78BC"/>
    <w:rsid w:val="008B7E6F"/>
    <w:rsid w:val="008C119D"/>
    <w:rsid w:val="008C1686"/>
    <w:rsid w:val="008C16F3"/>
    <w:rsid w:val="008C1AA5"/>
    <w:rsid w:val="008C1D74"/>
    <w:rsid w:val="008C21C7"/>
    <w:rsid w:val="008C2C68"/>
    <w:rsid w:val="008C2E0F"/>
    <w:rsid w:val="008C3165"/>
    <w:rsid w:val="008C31EC"/>
    <w:rsid w:val="008C3984"/>
    <w:rsid w:val="008C3FBC"/>
    <w:rsid w:val="008C45EC"/>
    <w:rsid w:val="008C48D5"/>
    <w:rsid w:val="008C4DF2"/>
    <w:rsid w:val="008C59DF"/>
    <w:rsid w:val="008C5B7A"/>
    <w:rsid w:val="008C5FD5"/>
    <w:rsid w:val="008C60AA"/>
    <w:rsid w:val="008C6647"/>
    <w:rsid w:val="008C687D"/>
    <w:rsid w:val="008C69AF"/>
    <w:rsid w:val="008C69E6"/>
    <w:rsid w:val="008C6B2E"/>
    <w:rsid w:val="008C6E69"/>
    <w:rsid w:val="008C6F7C"/>
    <w:rsid w:val="008C7567"/>
    <w:rsid w:val="008C7A54"/>
    <w:rsid w:val="008D058E"/>
    <w:rsid w:val="008D0602"/>
    <w:rsid w:val="008D063A"/>
    <w:rsid w:val="008D084F"/>
    <w:rsid w:val="008D0A9F"/>
    <w:rsid w:val="008D0EED"/>
    <w:rsid w:val="008D0F41"/>
    <w:rsid w:val="008D1EF9"/>
    <w:rsid w:val="008D203B"/>
    <w:rsid w:val="008D2249"/>
    <w:rsid w:val="008D260E"/>
    <w:rsid w:val="008D2843"/>
    <w:rsid w:val="008D28CE"/>
    <w:rsid w:val="008D2D1E"/>
    <w:rsid w:val="008D4509"/>
    <w:rsid w:val="008D49CF"/>
    <w:rsid w:val="008D4F97"/>
    <w:rsid w:val="008D5BC7"/>
    <w:rsid w:val="008D5EBB"/>
    <w:rsid w:val="008D62A3"/>
    <w:rsid w:val="008D69C2"/>
    <w:rsid w:val="008D6A3A"/>
    <w:rsid w:val="008D6D57"/>
    <w:rsid w:val="008D6EC6"/>
    <w:rsid w:val="008D71EE"/>
    <w:rsid w:val="008D72B4"/>
    <w:rsid w:val="008D754E"/>
    <w:rsid w:val="008E0751"/>
    <w:rsid w:val="008E075A"/>
    <w:rsid w:val="008E087C"/>
    <w:rsid w:val="008E0AC1"/>
    <w:rsid w:val="008E1846"/>
    <w:rsid w:val="008E1C39"/>
    <w:rsid w:val="008E2187"/>
    <w:rsid w:val="008E2B91"/>
    <w:rsid w:val="008E303F"/>
    <w:rsid w:val="008E3470"/>
    <w:rsid w:val="008E349E"/>
    <w:rsid w:val="008E3BD5"/>
    <w:rsid w:val="008E4057"/>
    <w:rsid w:val="008E4133"/>
    <w:rsid w:val="008E43D6"/>
    <w:rsid w:val="008E469F"/>
    <w:rsid w:val="008E4729"/>
    <w:rsid w:val="008E48D0"/>
    <w:rsid w:val="008E4A7C"/>
    <w:rsid w:val="008E4AA9"/>
    <w:rsid w:val="008E4ECF"/>
    <w:rsid w:val="008E574B"/>
    <w:rsid w:val="008E58AB"/>
    <w:rsid w:val="008E5B30"/>
    <w:rsid w:val="008E5EC7"/>
    <w:rsid w:val="008E5EDE"/>
    <w:rsid w:val="008E6921"/>
    <w:rsid w:val="008E6B32"/>
    <w:rsid w:val="008E7485"/>
    <w:rsid w:val="008E7A39"/>
    <w:rsid w:val="008F006E"/>
    <w:rsid w:val="008F00F4"/>
    <w:rsid w:val="008F06A2"/>
    <w:rsid w:val="008F08D1"/>
    <w:rsid w:val="008F0AA6"/>
    <w:rsid w:val="008F0B7A"/>
    <w:rsid w:val="008F0BBF"/>
    <w:rsid w:val="008F0BC3"/>
    <w:rsid w:val="008F0E43"/>
    <w:rsid w:val="008F1202"/>
    <w:rsid w:val="008F16F2"/>
    <w:rsid w:val="008F1782"/>
    <w:rsid w:val="008F18E9"/>
    <w:rsid w:val="008F1ED3"/>
    <w:rsid w:val="008F20E1"/>
    <w:rsid w:val="008F2437"/>
    <w:rsid w:val="008F2A5E"/>
    <w:rsid w:val="008F2B0E"/>
    <w:rsid w:val="008F3571"/>
    <w:rsid w:val="008F3641"/>
    <w:rsid w:val="008F369E"/>
    <w:rsid w:val="008F37D1"/>
    <w:rsid w:val="008F40E3"/>
    <w:rsid w:val="008F455E"/>
    <w:rsid w:val="008F4669"/>
    <w:rsid w:val="008F4FCD"/>
    <w:rsid w:val="008F5054"/>
    <w:rsid w:val="008F524D"/>
    <w:rsid w:val="008F5724"/>
    <w:rsid w:val="008F5B16"/>
    <w:rsid w:val="008F5D54"/>
    <w:rsid w:val="008F64E0"/>
    <w:rsid w:val="008F657D"/>
    <w:rsid w:val="008F6C94"/>
    <w:rsid w:val="008F74C5"/>
    <w:rsid w:val="008F77AC"/>
    <w:rsid w:val="00900003"/>
    <w:rsid w:val="009001CD"/>
    <w:rsid w:val="009008B3"/>
    <w:rsid w:val="00900C55"/>
    <w:rsid w:val="00900D05"/>
    <w:rsid w:val="00900E85"/>
    <w:rsid w:val="00901191"/>
    <w:rsid w:val="009017D1"/>
    <w:rsid w:val="00901E6E"/>
    <w:rsid w:val="00901F50"/>
    <w:rsid w:val="0090218B"/>
    <w:rsid w:val="009021B4"/>
    <w:rsid w:val="00902523"/>
    <w:rsid w:val="009027C9"/>
    <w:rsid w:val="009029F8"/>
    <w:rsid w:val="009038C0"/>
    <w:rsid w:val="00903C07"/>
    <w:rsid w:val="00904339"/>
    <w:rsid w:val="009045B2"/>
    <w:rsid w:val="0090464A"/>
    <w:rsid w:val="00904944"/>
    <w:rsid w:val="00905457"/>
    <w:rsid w:val="00905570"/>
    <w:rsid w:val="00905AD7"/>
    <w:rsid w:val="0090613F"/>
    <w:rsid w:val="009061AB"/>
    <w:rsid w:val="009062C2"/>
    <w:rsid w:val="00906875"/>
    <w:rsid w:val="00906999"/>
    <w:rsid w:val="00906E19"/>
    <w:rsid w:val="009075C1"/>
    <w:rsid w:val="00907B02"/>
    <w:rsid w:val="00907BD1"/>
    <w:rsid w:val="00907CC0"/>
    <w:rsid w:val="009103FB"/>
    <w:rsid w:val="00911B8F"/>
    <w:rsid w:val="00911C31"/>
    <w:rsid w:val="00911FA5"/>
    <w:rsid w:val="009124E8"/>
    <w:rsid w:val="00912FAE"/>
    <w:rsid w:val="009137EA"/>
    <w:rsid w:val="0091394D"/>
    <w:rsid w:val="00913984"/>
    <w:rsid w:val="00913B9E"/>
    <w:rsid w:val="00913DA1"/>
    <w:rsid w:val="009149E9"/>
    <w:rsid w:val="00915682"/>
    <w:rsid w:val="009156E1"/>
    <w:rsid w:val="0091597D"/>
    <w:rsid w:val="00915C0C"/>
    <w:rsid w:val="00915F4E"/>
    <w:rsid w:val="00916069"/>
    <w:rsid w:val="009163C2"/>
    <w:rsid w:val="00916A8B"/>
    <w:rsid w:val="00916ECC"/>
    <w:rsid w:val="0091766B"/>
    <w:rsid w:val="00917CF0"/>
    <w:rsid w:val="00920A1F"/>
    <w:rsid w:val="00920B7C"/>
    <w:rsid w:val="00920EE9"/>
    <w:rsid w:val="00921C5D"/>
    <w:rsid w:val="009222DB"/>
    <w:rsid w:val="009224EB"/>
    <w:rsid w:val="00922B12"/>
    <w:rsid w:val="00922CFD"/>
    <w:rsid w:val="00923843"/>
    <w:rsid w:val="00923CD7"/>
    <w:rsid w:val="00923D50"/>
    <w:rsid w:val="00923D65"/>
    <w:rsid w:val="009240F9"/>
    <w:rsid w:val="00924CF2"/>
    <w:rsid w:val="00924DA1"/>
    <w:rsid w:val="00924DCC"/>
    <w:rsid w:val="00925058"/>
    <w:rsid w:val="00925077"/>
    <w:rsid w:val="009250A3"/>
    <w:rsid w:val="00925176"/>
    <w:rsid w:val="00925228"/>
    <w:rsid w:val="00925549"/>
    <w:rsid w:val="0092556F"/>
    <w:rsid w:val="00925706"/>
    <w:rsid w:val="0092577F"/>
    <w:rsid w:val="00926C25"/>
    <w:rsid w:val="00927240"/>
    <w:rsid w:val="0092728D"/>
    <w:rsid w:val="00927470"/>
    <w:rsid w:val="0092799B"/>
    <w:rsid w:val="009279CA"/>
    <w:rsid w:val="009279DB"/>
    <w:rsid w:val="00927DFF"/>
    <w:rsid w:val="009307DA"/>
    <w:rsid w:val="0093105F"/>
    <w:rsid w:val="0093154F"/>
    <w:rsid w:val="00932C5D"/>
    <w:rsid w:val="00932EC2"/>
    <w:rsid w:val="009332FE"/>
    <w:rsid w:val="0093340C"/>
    <w:rsid w:val="00933948"/>
    <w:rsid w:val="00933A97"/>
    <w:rsid w:val="00933A99"/>
    <w:rsid w:val="009344DF"/>
    <w:rsid w:val="00934653"/>
    <w:rsid w:val="0093485B"/>
    <w:rsid w:val="00934B77"/>
    <w:rsid w:val="00934B97"/>
    <w:rsid w:val="00935F9A"/>
    <w:rsid w:val="00936549"/>
    <w:rsid w:val="009366F0"/>
    <w:rsid w:val="0093672E"/>
    <w:rsid w:val="009370B7"/>
    <w:rsid w:val="0093731E"/>
    <w:rsid w:val="00937828"/>
    <w:rsid w:val="00937E26"/>
    <w:rsid w:val="00937FF3"/>
    <w:rsid w:val="00940848"/>
    <w:rsid w:val="00940ED3"/>
    <w:rsid w:val="00940FE9"/>
    <w:rsid w:val="00941363"/>
    <w:rsid w:val="009413F4"/>
    <w:rsid w:val="00941459"/>
    <w:rsid w:val="009414D5"/>
    <w:rsid w:val="0094199D"/>
    <w:rsid w:val="00941E5D"/>
    <w:rsid w:val="00941EA7"/>
    <w:rsid w:val="00941FF0"/>
    <w:rsid w:val="009423C8"/>
    <w:rsid w:val="0094268D"/>
    <w:rsid w:val="009430BE"/>
    <w:rsid w:val="0094320D"/>
    <w:rsid w:val="00943254"/>
    <w:rsid w:val="00943362"/>
    <w:rsid w:val="0094395E"/>
    <w:rsid w:val="00943C18"/>
    <w:rsid w:val="009440B5"/>
    <w:rsid w:val="0094447F"/>
    <w:rsid w:val="0094513A"/>
    <w:rsid w:val="0094538A"/>
    <w:rsid w:val="00945845"/>
    <w:rsid w:val="00946D67"/>
    <w:rsid w:val="00946F1D"/>
    <w:rsid w:val="009477A2"/>
    <w:rsid w:val="00947FC9"/>
    <w:rsid w:val="0095046B"/>
    <w:rsid w:val="009506B6"/>
    <w:rsid w:val="00950948"/>
    <w:rsid w:val="00950F4B"/>
    <w:rsid w:val="009516FB"/>
    <w:rsid w:val="009517BA"/>
    <w:rsid w:val="00951FFC"/>
    <w:rsid w:val="00952070"/>
    <w:rsid w:val="00952290"/>
    <w:rsid w:val="009522F9"/>
    <w:rsid w:val="00952602"/>
    <w:rsid w:val="00952AFC"/>
    <w:rsid w:val="009539AD"/>
    <w:rsid w:val="00953C63"/>
    <w:rsid w:val="0095401B"/>
    <w:rsid w:val="0095404D"/>
    <w:rsid w:val="00954167"/>
    <w:rsid w:val="0095444D"/>
    <w:rsid w:val="00954755"/>
    <w:rsid w:val="00954B60"/>
    <w:rsid w:val="00954C4E"/>
    <w:rsid w:val="00954C6D"/>
    <w:rsid w:val="00954FD3"/>
    <w:rsid w:val="00955049"/>
    <w:rsid w:val="00955163"/>
    <w:rsid w:val="009553B8"/>
    <w:rsid w:val="009554CA"/>
    <w:rsid w:val="00955824"/>
    <w:rsid w:val="00955A81"/>
    <w:rsid w:val="009563AC"/>
    <w:rsid w:val="009566CC"/>
    <w:rsid w:val="0095670F"/>
    <w:rsid w:val="0095680B"/>
    <w:rsid w:val="00956FC2"/>
    <w:rsid w:val="00957043"/>
    <w:rsid w:val="00957352"/>
    <w:rsid w:val="009574F3"/>
    <w:rsid w:val="00957C05"/>
    <w:rsid w:val="00960A38"/>
    <w:rsid w:val="00960EBF"/>
    <w:rsid w:val="00960F0D"/>
    <w:rsid w:val="009610E5"/>
    <w:rsid w:val="0096198D"/>
    <w:rsid w:val="00961A65"/>
    <w:rsid w:val="00961B22"/>
    <w:rsid w:val="00962590"/>
    <w:rsid w:val="00962B6F"/>
    <w:rsid w:val="009631C9"/>
    <w:rsid w:val="00963771"/>
    <w:rsid w:val="00963DB2"/>
    <w:rsid w:val="009655EE"/>
    <w:rsid w:val="009658CB"/>
    <w:rsid w:val="00966ED6"/>
    <w:rsid w:val="009677F6"/>
    <w:rsid w:val="009679B5"/>
    <w:rsid w:val="00967CC1"/>
    <w:rsid w:val="00967FF4"/>
    <w:rsid w:val="00970251"/>
    <w:rsid w:val="0097033C"/>
    <w:rsid w:val="0097051A"/>
    <w:rsid w:val="009707DC"/>
    <w:rsid w:val="009708D7"/>
    <w:rsid w:val="00970F6E"/>
    <w:rsid w:val="00971678"/>
    <w:rsid w:val="00971C00"/>
    <w:rsid w:val="00972299"/>
    <w:rsid w:val="00972F12"/>
    <w:rsid w:val="00973156"/>
    <w:rsid w:val="0097330A"/>
    <w:rsid w:val="00973332"/>
    <w:rsid w:val="009735E1"/>
    <w:rsid w:val="00973714"/>
    <w:rsid w:val="00973D52"/>
    <w:rsid w:val="00973DBB"/>
    <w:rsid w:val="00973E3C"/>
    <w:rsid w:val="00973ED8"/>
    <w:rsid w:val="00973F32"/>
    <w:rsid w:val="00974091"/>
    <w:rsid w:val="0097424E"/>
    <w:rsid w:val="0097433E"/>
    <w:rsid w:val="00974704"/>
    <w:rsid w:val="009753AE"/>
    <w:rsid w:val="00975A4D"/>
    <w:rsid w:val="00975CA2"/>
    <w:rsid w:val="009761C8"/>
    <w:rsid w:val="0097620A"/>
    <w:rsid w:val="00976926"/>
    <w:rsid w:val="00976F87"/>
    <w:rsid w:val="00977270"/>
    <w:rsid w:val="009773C5"/>
    <w:rsid w:val="0097749E"/>
    <w:rsid w:val="009776B7"/>
    <w:rsid w:val="00977F84"/>
    <w:rsid w:val="00980180"/>
    <w:rsid w:val="00980288"/>
    <w:rsid w:val="00980CEF"/>
    <w:rsid w:val="0098153E"/>
    <w:rsid w:val="00981D0E"/>
    <w:rsid w:val="00981ECA"/>
    <w:rsid w:val="00981FE0"/>
    <w:rsid w:val="0098258D"/>
    <w:rsid w:val="00983345"/>
    <w:rsid w:val="00983353"/>
    <w:rsid w:val="009838B0"/>
    <w:rsid w:val="00983D9E"/>
    <w:rsid w:val="009849E1"/>
    <w:rsid w:val="0098516E"/>
    <w:rsid w:val="009855CF"/>
    <w:rsid w:val="00985740"/>
    <w:rsid w:val="00985BA4"/>
    <w:rsid w:val="00985EED"/>
    <w:rsid w:val="0098608E"/>
    <w:rsid w:val="00986129"/>
    <w:rsid w:val="009865A0"/>
    <w:rsid w:val="009865FC"/>
    <w:rsid w:val="00986668"/>
    <w:rsid w:val="0098674B"/>
    <w:rsid w:val="00986BE1"/>
    <w:rsid w:val="009870C2"/>
    <w:rsid w:val="00987722"/>
    <w:rsid w:val="009878A4"/>
    <w:rsid w:val="00987E88"/>
    <w:rsid w:val="0099087D"/>
    <w:rsid w:val="0099114D"/>
    <w:rsid w:val="0099149E"/>
    <w:rsid w:val="009918AF"/>
    <w:rsid w:val="00992290"/>
    <w:rsid w:val="00992630"/>
    <w:rsid w:val="00992A55"/>
    <w:rsid w:val="00992F8C"/>
    <w:rsid w:val="00993A52"/>
    <w:rsid w:val="0099436F"/>
    <w:rsid w:val="00994D21"/>
    <w:rsid w:val="009952DC"/>
    <w:rsid w:val="009956BD"/>
    <w:rsid w:val="00996256"/>
    <w:rsid w:val="0099671F"/>
    <w:rsid w:val="00996741"/>
    <w:rsid w:val="009969D9"/>
    <w:rsid w:val="009972D9"/>
    <w:rsid w:val="0099758F"/>
    <w:rsid w:val="009976B1"/>
    <w:rsid w:val="00997869"/>
    <w:rsid w:val="00997951"/>
    <w:rsid w:val="00997A9C"/>
    <w:rsid w:val="009A0390"/>
    <w:rsid w:val="009A0D64"/>
    <w:rsid w:val="009A1547"/>
    <w:rsid w:val="009A1AE9"/>
    <w:rsid w:val="009A1B5A"/>
    <w:rsid w:val="009A2B2C"/>
    <w:rsid w:val="009A2C09"/>
    <w:rsid w:val="009A2CB1"/>
    <w:rsid w:val="009A3067"/>
    <w:rsid w:val="009A3847"/>
    <w:rsid w:val="009A54A3"/>
    <w:rsid w:val="009A553B"/>
    <w:rsid w:val="009A5924"/>
    <w:rsid w:val="009A63A6"/>
    <w:rsid w:val="009A67DD"/>
    <w:rsid w:val="009A6AFC"/>
    <w:rsid w:val="009A6FCC"/>
    <w:rsid w:val="009A6FD3"/>
    <w:rsid w:val="009A70B4"/>
    <w:rsid w:val="009A728C"/>
    <w:rsid w:val="009A74D9"/>
    <w:rsid w:val="009A7553"/>
    <w:rsid w:val="009A7BF2"/>
    <w:rsid w:val="009A7E87"/>
    <w:rsid w:val="009B0618"/>
    <w:rsid w:val="009B0E3F"/>
    <w:rsid w:val="009B0ED9"/>
    <w:rsid w:val="009B126C"/>
    <w:rsid w:val="009B163E"/>
    <w:rsid w:val="009B1B4C"/>
    <w:rsid w:val="009B1F6D"/>
    <w:rsid w:val="009B20B1"/>
    <w:rsid w:val="009B21B6"/>
    <w:rsid w:val="009B239E"/>
    <w:rsid w:val="009B2991"/>
    <w:rsid w:val="009B2EC3"/>
    <w:rsid w:val="009B31F7"/>
    <w:rsid w:val="009B32B6"/>
    <w:rsid w:val="009B35F4"/>
    <w:rsid w:val="009B3827"/>
    <w:rsid w:val="009B3843"/>
    <w:rsid w:val="009B3AEA"/>
    <w:rsid w:val="009B465E"/>
    <w:rsid w:val="009B4668"/>
    <w:rsid w:val="009B4A68"/>
    <w:rsid w:val="009B4AA6"/>
    <w:rsid w:val="009B51F1"/>
    <w:rsid w:val="009B5329"/>
    <w:rsid w:val="009B58B8"/>
    <w:rsid w:val="009B5B0F"/>
    <w:rsid w:val="009B5C83"/>
    <w:rsid w:val="009B5E9A"/>
    <w:rsid w:val="009B6081"/>
    <w:rsid w:val="009B634D"/>
    <w:rsid w:val="009B645E"/>
    <w:rsid w:val="009B65A6"/>
    <w:rsid w:val="009B6EC8"/>
    <w:rsid w:val="009B773B"/>
    <w:rsid w:val="009C0767"/>
    <w:rsid w:val="009C0A8B"/>
    <w:rsid w:val="009C1203"/>
    <w:rsid w:val="009C183F"/>
    <w:rsid w:val="009C1BEA"/>
    <w:rsid w:val="009C211E"/>
    <w:rsid w:val="009C2279"/>
    <w:rsid w:val="009C2449"/>
    <w:rsid w:val="009C248A"/>
    <w:rsid w:val="009C265B"/>
    <w:rsid w:val="009C2C11"/>
    <w:rsid w:val="009C308B"/>
    <w:rsid w:val="009C3D6D"/>
    <w:rsid w:val="009C4DB3"/>
    <w:rsid w:val="009C53E9"/>
    <w:rsid w:val="009C58E1"/>
    <w:rsid w:val="009C59E6"/>
    <w:rsid w:val="009C5E13"/>
    <w:rsid w:val="009C6003"/>
    <w:rsid w:val="009C64BB"/>
    <w:rsid w:val="009C6C80"/>
    <w:rsid w:val="009C6DD8"/>
    <w:rsid w:val="009C7726"/>
    <w:rsid w:val="009C7E64"/>
    <w:rsid w:val="009C7FCC"/>
    <w:rsid w:val="009CB8C7"/>
    <w:rsid w:val="009D054B"/>
    <w:rsid w:val="009D067C"/>
    <w:rsid w:val="009D06F5"/>
    <w:rsid w:val="009D17C5"/>
    <w:rsid w:val="009D1AA4"/>
    <w:rsid w:val="009D1C82"/>
    <w:rsid w:val="009D20A5"/>
    <w:rsid w:val="009D289D"/>
    <w:rsid w:val="009D28E0"/>
    <w:rsid w:val="009D2FA4"/>
    <w:rsid w:val="009D31F6"/>
    <w:rsid w:val="009D3CA5"/>
    <w:rsid w:val="009D4248"/>
    <w:rsid w:val="009D4309"/>
    <w:rsid w:val="009D49AF"/>
    <w:rsid w:val="009D4B51"/>
    <w:rsid w:val="009D580A"/>
    <w:rsid w:val="009D5AF3"/>
    <w:rsid w:val="009D64C5"/>
    <w:rsid w:val="009D6CA7"/>
    <w:rsid w:val="009D71AB"/>
    <w:rsid w:val="009D7220"/>
    <w:rsid w:val="009D7507"/>
    <w:rsid w:val="009D7813"/>
    <w:rsid w:val="009D78D4"/>
    <w:rsid w:val="009D7984"/>
    <w:rsid w:val="009D7FB0"/>
    <w:rsid w:val="009E0978"/>
    <w:rsid w:val="009E0E68"/>
    <w:rsid w:val="009E0F6E"/>
    <w:rsid w:val="009E139D"/>
    <w:rsid w:val="009E18FA"/>
    <w:rsid w:val="009E1A04"/>
    <w:rsid w:val="009E1A30"/>
    <w:rsid w:val="009E1C34"/>
    <w:rsid w:val="009E1CC1"/>
    <w:rsid w:val="009E1E08"/>
    <w:rsid w:val="009E207A"/>
    <w:rsid w:val="009E20A3"/>
    <w:rsid w:val="009E2964"/>
    <w:rsid w:val="009E2DE8"/>
    <w:rsid w:val="009E3034"/>
    <w:rsid w:val="009E37CC"/>
    <w:rsid w:val="009E3E2E"/>
    <w:rsid w:val="009E3FF5"/>
    <w:rsid w:val="009E403A"/>
    <w:rsid w:val="009E4181"/>
    <w:rsid w:val="009E49A3"/>
    <w:rsid w:val="009E5CAC"/>
    <w:rsid w:val="009E5D86"/>
    <w:rsid w:val="009E5EF1"/>
    <w:rsid w:val="009E64B9"/>
    <w:rsid w:val="009E70FB"/>
    <w:rsid w:val="009E7111"/>
    <w:rsid w:val="009E72C1"/>
    <w:rsid w:val="009E759B"/>
    <w:rsid w:val="009E787E"/>
    <w:rsid w:val="009E7B97"/>
    <w:rsid w:val="009E7BBE"/>
    <w:rsid w:val="009F04F7"/>
    <w:rsid w:val="009F08AC"/>
    <w:rsid w:val="009F0A0C"/>
    <w:rsid w:val="009F0A2B"/>
    <w:rsid w:val="009F0AEE"/>
    <w:rsid w:val="009F0CB6"/>
    <w:rsid w:val="009F1413"/>
    <w:rsid w:val="009F144F"/>
    <w:rsid w:val="009F1569"/>
    <w:rsid w:val="009F1767"/>
    <w:rsid w:val="009F1894"/>
    <w:rsid w:val="009F1CB7"/>
    <w:rsid w:val="009F1D94"/>
    <w:rsid w:val="009F20DA"/>
    <w:rsid w:val="009F2557"/>
    <w:rsid w:val="009F2C94"/>
    <w:rsid w:val="009F34AA"/>
    <w:rsid w:val="009F3B65"/>
    <w:rsid w:val="009F3FE2"/>
    <w:rsid w:val="009F51A0"/>
    <w:rsid w:val="009F5313"/>
    <w:rsid w:val="009F5854"/>
    <w:rsid w:val="009F5978"/>
    <w:rsid w:val="009F5AFA"/>
    <w:rsid w:val="009F5C76"/>
    <w:rsid w:val="009F5E5F"/>
    <w:rsid w:val="009F6226"/>
    <w:rsid w:val="009F62F2"/>
    <w:rsid w:val="009F6C69"/>
    <w:rsid w:val="009F7600"/>
    <w:rsid w:val="009F7AC9"/>
    <w:rsid w:val="009F7F79"/>
    <w:rsid w:val="00A0032B"/>
    <w:rsid w:val="00A004B8"/>
    <w:rsid w:val="00A00CED"/>
    <w:rsid w:val="00A01476"/>
    <w:rsid w:val="00A01E33"/>
    <w:rsid w:val="00A021C9"/>
    <w:rsid w:val="00A022B2"/>
    <w:rsid w:val="00A022D0"/>
    <w:rsid w:val="00A0234E"/>
    <w:rsid w:val="00A02722"/>
    <w:rsid w:val="00A03246"/>
    <w:rsid w:val="00A0383F"/>
    <w:rsid w:val="00A03DFC"/>
    <w:rsid w:val="00A04329"/>
    <w:rsid w:val="00A04400"/>
    <w:rsid w:val="00A044D5"/>
    <w:rsid w:val="00A047BC"/>
    <w:rsid w:val="00A049B8"/>
    <w:rsid w:val="00A04AFA"/>
    <w:rsid w:val="00A04BAE"/>
    <w:rsid w:val="00A04CDF"/>
    <w:rsid w:val="00A04E1F"/>
    <w:rsid w:val="00A0556E"/>
    <w:rsid w:val="00A0568A"/>
    <w:rsid w:val="00A0610F"/>
    <w:rsid w:val="00A06C85"/>
    <w:rsid w:val="00A06E09"/>
    <w:rsid w:val="00A074BB"/>
    <w:rsid w:val="00A075AE"/>
    <w:rsid w:val="00A07680"/>
    <w:rsid w:val="00A07F53"/>
    <w:rsid w:val="00A1023E"/>
    <w:rsid w:val="00A10273"/>
    <w:rsid w:val="00A105C6"/>
    <w:rsid w:val="00A10848"/>
    <w:rsid w:val="00A10972"/>
    <w:rsid w:val="00A10B83"/>
    <w:rsid w:val="00A1132C"/>
    <w:rsid w:val="00A1152D"/>
    <w:rsid w:val="00A11CBC"/>
    <w:rsid w:val="00A12426"/>
    <w:rsid w:val="00A12543"/>
    <w:rsid w:val="00A127A3"/>
    <w:rsid w:val="00A12B69"/>
    <w:rsid w:val="00A12B6E"/>
    <w:rsid w:val="00A1308E"/>
    <w:rsid w:val="00A138A2"/>
    <w:rsid w:val="00A13A2B"/>
    <w:rsid w:val="00A14A5D"/>
    <w:rsid w:val="00A14A78"/>
    <w:rsid w:val="00A14C09"/>
    <w:rsid w:val="00A14EEB"/>
    <w:rsid w:val="00A15279"/>
    <w:rsid w:val="00A15904"/>
    <w:rsid w:val="00A16189"/>
    <w:rsid w:val="00A164B9"/>
    <w:rsid w:val="00A16BD8"/>
    <w:rsid w:val="00A17160"/>
    <w:rsid w:val="00A17565"/>
    <w:rsid w:val="00A1766C"/>
    <w:rsid w:val="00A178B3"/>
    <w:rsid w:val="00A1FE2D"/>
    <w:rsid w:val="00A2015B"/>
    <w:rsid w:val="00A20233"/>
    <w:rsid w:val="00A20802"/>
    <w:rsid w:val="00A2111B"/>
    <w:rsid w:val="00A21214"/>
    <w:rsid w:val="00A21685"/>
    <w:rsid w:val="00A2170B"/>
    <w:rsid w:val="00A21860"/>
    <w:rsid w:val="00A2248E"/>
    <w:rsid w:val="00A2297B"/>
    <w:rsid w:val="00A22B2F"/>
    <w:rsid w:val="00A231E3"/>
    <w:rsid w:val="00A23B5E"/>
    <w:rsid w:val="00A23D5B"/>
    <w:rsid w:val="00A23F32"/>
    <w:rsid w:val="00A245D5"/>
    <w:rsid w:val="00A2499A"/>
    <w:rsid w:val="00A260F9"/>
    <w:rsid w:val="00A2634B"/>
    <w:rsid w:val="00A26B8F"/>
    <w:rsid w:val="00A27B7A"/>
    <w:rsid w:val="00A27D53"/>
    <w:rsid w:val="00A30208"/>
    <w:rsid w:val="00A30571"/>
    <w:rsid w:val="00A30A7A"/>
    <w:rsid w:val="00A30C97"/>
    <w:rsid w:val="00A31313"/>
    <w:rsid w:val="00A3154A"/>
    <w:rsid w:val="00A31913"/>
    <w:rsid w:val="00A31CF7"/>
    <w:rsid w:val="00A31DA9"/>
    <w:rsid w:val="00A31F94"/>
    <w:rsid w:val="00A320D9"/>
    <w:rsid w:val="00A3232A"/>
    <w:rsid w:val="00A32496"/>
    <w:rsid w:val="00A32B0B"/>
    <w:rsid w:val="00A32C55"/>
    <w:rsid w:val="00A32D7C"/>
    <w:rsid w:val="00A333B3"/>
    <w:rsid w:val="00A33408"/>
    <w:rsid w:val="00A34514"/>
    <w:rsid w:val="00A348A3"/>
    <w:rsid w:val="00A348AD"/>
    <w:rsid w:val="00A34B45"/>
    <w:rsid w:val="00A34EB7"/>
    <w:rsid w:val="00A3510A"/>
    <w:rsid w:val="00A352D7"/>
    <w:rsid w:val="00A35411"/>
    <w:rsid w:val="00A35D48"/>
    <w:rsid w:val="00A36A78"/>
    <w:rsid w:val="00A36D97"/>
    <w:rsid w:val="00A37112"/>
    <w:rsid w:val="00A3793F"/>
    <w:rsid w:val="00A37A3C"/>
    <w:rsid w:val="00A37BE1"/>
    <w:rsid w:val="00A37D6E"/>
    <w:rsid w:val="00A37D7D"/>
    <w:rsid w:val="00A406FC"/>
    <w:rsid w:val="00A40E4F"/>
    <w:rsid w:val="00A410EA"/>
    <w:rsid w:val="00A41760"/>
    <w:rsid w:val="00A41CBA"/>
    <w:rsid w:val="00A41E5A"/>
    <w:rsid w:val="00A41EC1"/>
    <w:rsid w:val="00A420D0"/>
    <w:rsid w:val="00A42A27"/>
    <w:rsid w:val="00A42B41"/>
    <w:rsid w:val="00A430A4"/>
    <w:rsid w:val="00A43613"/>
    <w:rsid w:val="00A4379A"/>
    <w:rsid w:val="00A43A2F"/>
    <w:rsid w:val="00A43DBF"/>
    <w:rsid w:val="00A43E1A"/>
    <w:rsid w:val="00A43F63"/>
    <w:rsid w:val="00A447C7"/>
    <w:rsid w:val="00A4495F"/>
    <w:rsid w:val="00A44BCA"/>
    <w:rsid w:val="00A454E8"/>
    <w:rsid w:val="00A45807"/>
    <w:rsid w:val="00A45C42"/>
    <w:rsid w:val="00A45D58"/>
    <w:rsid w:val="00A45E0B"/>
    <w:rsid w:val="00A45ED5"/>
    <w:rsid w:val="00A464F2"/>
    <w:rsid w:val="00A474D6"/>
    <w:rsid w:val="00A47581"/>
    <w:rsid w:val="00A476F7"/>
    <w:rsid w:val="00A47C5E"/>
    <w:rsid w:val="00A50053"/>
    <w:rsid w:val="00A506A7"/>
    <w:rsid w:val="00A50CE0"/>
    <w:rsid w:val="00A50EE5"/>
    <w:rsid w:val="00A510B5"/>
    <w:rsid w:val="00A5124C"/>
    <w:rsid w:val="00A517D0"/>
    <w:rsid w:val="00A52376"/>
    <w:rsid w:val="00A5306A"/>
    <w:rsid w:val="00A534DB"/>
    <w:rsid w:val="00A53689"/>
    <w:rsid w:val="00A5389E"/>
    <w:rsid w:val="00A53F91"/>
    <w:rsid w:val="00A54063"/>
    <w:rsid w:val="00A5426D"/>
    <w:rsid w:val="00A55007"/>
    <w:rsid w:val="00A5562F"/>
    <w:rsid w:val="00A55965"/>
    <w:rsid w:val="00A559D0"/>
    <w:rsid w:val="00A55A8C"/>
    <w:rsid w:val="00A5629A"/>
    <w:rsid w:val="00A5667E"/>
    <w:rsid w:val="00A56C43"/>
    <w:rsid w:val="00A570C0"/>
    <w:rsid w:val="00A57416"/>
    <w:rsid w:val="00A578D9"/>
    <w:rsid w:val="00A57B01"/>
    <w:rsid w:val="00A57D98"/>
    <w:rsid w:val="00A57E9C"/>
    <w:rsid w:val="00A60188"/>
    <w:rsid w:val="00A60731"/>
    <w:rsid w:val="00A6082B"/>
    <w:rsid w:val="00A6088A"/>
    <w:rsid w:val="00A60B26"/>
    <w:rsid w:val="00A60D74"/>
    <w:rsid w:val="00A61201"/>
    <w:rsid w:val="00A61B72"/>
    <w:rsid w:val="00A61BDA"/>
    <w:rsid w:val="00A620CD"/>
    <w:rsid w:val="00A6270D"/>
    <w:rsid w:val="00A62C57"/>
    <w:rsid w:val="00A6332A"/>
    <w:rsid w:val="00A634D3"/>
    <w:rsid w:val="00A64089"/>
    <w:rsid w:val="00A64654"/>
    <w:rsid w:val="00A64712"/>
    <w:rsid w:val="00A64794"/>
    <w:rsid w:val="00A64D53"/>
    <w:rsid w:val="00A65509"/>
    <w:rsid w:val="00A65660"/>
    <w:rsid w:val="00A659A9"/>
    <w:rsid w:val="00A65E66"/>
    <w:rsid w:val="00A66520"/>
    <w:rsid w:val="00A6653B"/>
    <w:rsid w:val="00A666BC"/>
    <w:rsid w:val="00A66949"/>
    <w:rsid w:val="00A66B1F"/>
    <w:rsid w:val="00A66DEE"/>
    <w:rsid w:val="00A66F7B"/>
    <w:rsid w:val="00A671F2"/>
    <w:rsid w:val="00A67618"/>
    <w:rsid w:val="00A67677"/>
    <w:rsid w:val="00A67681"/>
    <w:rsid w:val="00A6BABB"/>
    <w:rsid w:val="00A703DF"/>
    <w:rsid w:val="00A705FC"/>
    <w:rsid w:val="00A70742"/>
    <w:rsid w:val="00A70BED"/>
    <w:rsid w:val="00A71C64"/>
    <w:rsid w:val="00A721C4"/>
    <w:rsid w:val="00A72273"/>
    <w:rsid w:val="00A727B4"/>
    <w:rsid w:val="00A730CD"/>
    <w:rsid w:val="00A732BE"/>
    <w:rsid w:val="00A74005"/>
    <w:rsid w:val="00A7418F"/>
    <w:rsid w:val="00A742D0"/>
    <w:rsid w:val="00A744D8"/>
    <w:rsid w:val="00A74820"/>
    <w:rsid w:val="00A749E8"/>
    <w:rsid w:val="00A74AA9"/>
    <w:rsid w:val="00A74C76"/>
    <w:rsid w:val="00A75063"/>
    <w:rsid w:val="00A750B9"/>
    <w:rsid w:val="00A7543E"/>
    <w:rsid w:val="00A7597A"/>
    <w:rsid w:val="00A759A5"/>
    <w:rsid w:val="00A75EBE"/>
    <w:rsid w:val="00A761B8"/>
    <w:rsid w:val="00A765C6"/>
    <w:rsid w:val="00A76630"/>
    <w:rsid w:val="00A77524"/>
    <w:rsid w:val="00A7755A"/>
    <w:rsid w:val="00A803CC"/>
    <w:rsid w:val="00A8163D"/>
    <w:rsid w:val="00A81A04"/>
    <w:rsid w:val="00A82702"/>
    <w:rsid w:val="00A82B30"/>
    <w:rsid w:val="00A835CB"/>
    <w:rsid w:val="00A83617"/>
    <w:rsid w:val="00A83BED"/>
    <w:rsid w:val="00A8476D"/>
    <w:rsid w:val="00A84A6B"/>
    <w:rsid w:val="00A84DD4"/>
    <w:rsid w:val="00A8500B"/>
    <w:rsid w:val="00A852DB"/>
    <w:rsid w:val="00A852FB"/>
    <w:rsid w:val="00A858F4"/>
    <w:rsid w:val="00A85C36"/>
    <w:rsid w:val="00A8685B"/>
    <w:rsid w:val="00A86E46"/>
    <w:rsid w:val="00A87382"/>
    <w:rsid w:val="00A87425"/>
    <w:rsid w:val="00A90630"/>
    <w:rsid w:val="00A90D7F"/>
    <w:rsid w:val="00A91114"/>
    <w:rsid w:val="00A9166D"/>
    <w:rsid w:val="00A91C69"/>
    <w:rsid w:val="00A921F7"/>
    <w:rsid w:val="00A921FF"/>
    <w:rsid w:val="00A9243D"/>
    <w:rsid w:val="00A9288C"/>
    <w:rsid w:val="00A930E8"/>
    <w:rsid w:val="00A9325A"/>
    <w:rsid w:val="00A93952"/>
    <w:rsid w:val="00A939B4"/>
    <w:rsid w:val="00A939E4"/>
    <w:rsid w:val="00A93CD1"/>
    <w:rsid w:val="00A9413B"/>
    <w:rsid w:val="00A941AF"/>
    <w:rsid w:val="00A94AEA"/>
    <w:rsid w:val="00A94DF9"/>
    <w:rsid w:val="00A953C8"/>
    <w:rsid w:val="00A95BF7"/>
    <w:rsid w:val="00A963F9"/>
    <w:rsid w:val="00A96496"/>
    <w:rsid w:val="00A968DA"/>
    <w:rsid w:val="00A96BE3"/>
    <w:rsid w:val="00A96D24"/>
    <w:rsid w:val="00A96E8C"/>
    <w:rsid w:val="00A9740A"/>
    <w:rsid w:val="00A97C44"/>
    <w:rsid w:val="00A97E53"/>
    <w:rsid w:val="00AA016E"/>
    <w:rsid w:val="00AA078A"/>
    <w:rsid w:val="00AA1788"/>
    <w:rsid w:val="00AA17A0"/>
    <w:rsid w:val="00AA1CB2"/>
    <w:rsid w:val="00AA24A4"/>
    <w:rsid w:val="00AA24E8"/>
    <w:rsid w:val="00AA2F69"/>
    <w:rsid w:val="00AA340F"/>
    <w:rsid w:val="00AA38A0"/>
    <w:rsid w:val="00AA3932"/>
    <w:rsid w:val="00AA40BC"/>
    <w:rsid w:val="00AA478B"/>
    <w:rsid w:val="00AA4993"/>
    <w:rsid w:val="00AA4EE1"/>
    <w:rsid w:val="00AA5247"/>
    <w:rsid w:val="00AA53D6"/>
    <w:rsid w:val="00AA6310"/>
    <w:rsid w:val="00AA668D"/>
    <w:rsid w:val="00AA6C9A"/>
    <w:rsid w:val="00AA707C"/>
    <w:rsid w:val="00AA7A71"/>
    <w:rsid w:val="00AA7D04"/>
    <w:rsid w:val="00AB07FD"/>
    <w:rsid w:val="00AB081A"/>
    <w:rsid w:val="00AB0B6F"/>
    <w:rsid w:val="00AB19D2"/>
    <w:rsid w:val="00AB1BC5"/>
    <w:rsid w:val="00AB1C58"/>
    <w:rsid w:val="00AB1E56"/>
    <w:rsid w:val="00AB22E5"/>
    <w:rsid w:val="00AB311E"/>
    <w:rsid w:val="00AB34AD"/>
    <w:rsid w:val="00AB3924"/>
    <w:rsid w:val="00AB3A4F"/>
    <w:rsid w:val="00AB3F3A"/>
    <w:rsid w:val="00AB3F7E"/>
    <w:rsid w:val="00AB4111"/>
    <w:rsid w:val="00AB4178"/>
    <w:rsid w:val="00AB417A"/>
    <w:rsid w:val="00AB4242"/>
    <w:rsid w:val="00AB4EB3"/>
    <w:rsid w:val="00AB5B50"/>
    <w:rsid w:val="00AB5CED"/>
    <w:rsid w:val="00AB60EC"/>
    <w:rsid w:val="00AB65AC"/>
    <w:rsid w:val="00AB6ACC"/>
    <w:rsid w:val="00AB6F35"/>
    <w:rsid w:val="00AB76A4"/>
    <w:rsid w:val="00AC00ED"/>
    <w:rsid w:val="00AC040C"/>
    <w:rsid w:val="00AC091C"/>
    <w:rsid w:val="00AC0A79"/>
    <w:rsid w:val="00AC0A9B"/>
    <w:rsid w:val="00AC1017"/>
    <w:rsid w:val="00AC10B1"/>
    <w:rsid w:val="00AC1106"/>
    <w:rsid w:val="00AC149D"/>
    <w:rsid w:val="00AC176F"/>
    <w:rsid w:val="00AC1818"/>
    <w:rsid w:val="00AC1882"/>
    <w:rsid w:val="00AC198F"/>
    <w:rsid w:val="00AC2673"/>
    <w:rsid w:val="00AC3C74"/>
    <w:rsid w:val="00AC40EB"/>
    <w:rsid w:val="00AC42F6"/>
    <w:rsid w:val="00AC47DD"/>
    <w:rsid w:val="00AC491D"/>
    <w:rsid w:val="00AC4BDB"/>
    <w:rsid w:val="00AC4D16"/>
    <w:rsid w:val="00AC507B"/>
    <w:rsid w:val="00AC534F"/>
    <w:rsid w:val="00AC5473"/>
    <w:rsid w:val="00AC57B3"/>
    <w:rsid w:val="00AC57DD"/>
    <w:rsid w:val="00AC5966"/>
    <w:rsid w:val="00AC5A01"/>
    <w:rsid w:val="00AC5A11"/>
    <w:rsid w:val="00AC5C9B"/>
    <w:rsid w:val="00AC5FE8"/>
    <w:rsid w:val="00AC626A"/>
    <w:rsid w:val="00AC6EE8"/>
    <w:rsid w:val="00AC75D1"/>
    <w:rsid w:val="00AD009D"/>
    <w:rsid w:val="00AD0166"/>
    <w:rsid w:val="00AD1287"/>
    <w:rsid w:val="00AD139E"/>
    <w:rsid w:val="00AD1642"/>
    <w:rsid w:val="00AD17BF"/>
    <w:rsid w:val="00AD1E35"/>
    <w:rsid w:val="00AD26BD"/>
    <w:rsid w:val="00AD2807"/>
    <w:rsid w:val="00AD2C79"/>
    <w:rsid w:val="00AD324B"/>
    <w:rsid w:val="00AD3418"/>
    <w:rsid w:val="00AD348B"/>
    <w:rsid w:val="00AD36F6"/>
    <w:rsid w:val="00AD3784"/>
    <w:rsid w:val="00AD3EFE"/>
    <w:rsid w:val="00AD40EB"/>
    <w:rsid w:val="00AD4A4B"/>
    <w:rsid w:val="00AD5209"/>
    <w:rsid w:val="00AD52CD"/>
    <w:rsid w:val="00AD5504"/>
    <w:rsid w:val="00AD5652"/>
    <w:rsid w:val="00AD5F59"/>
    <w:rsid w:val="00AD68F9"/>
    <w:rsid w:val="00AD6A41"/>
    <w:rsid w:val="00AD6D9C"/>
    <w:rsid w:val="00AD70A7"/>
    <w:rsid w:val="00AD7462"/>
    <w:rsid w:val="00AD756B"/>
    <w:rsid w:val="00AD782B"/>
    <w:rsid w:val="00AE016F"/>
    <w:rsid w:val="00AE0A47"/>
    <w:rsid w:val="00AE0A5F"/>
    <w:rsid w:val="00AE0B24"/>
    <w:rsid w:val="00AE0EF0"/>
    <w:rsid w:val="00AE1082"/>
    <w:rsid w:val="00AE1522"/>
    <w:rsid w:val="00AE158B"/>
    <w:rsid w:val="00AE1A44"/>
    <w:rsid w:val="00AE210F"/>
    <w:rsid w:val="00AE2691"/>
    <w:rsid w:val="00AE2A5E"/>
    <w:rsid w:val="00AE2CF9"/>
    <w:rsid w:val="00AE2DCD"/>
    <w:rsid w:val="00AE3211"/>
    <w:rsid w:val="00AE3462"/>
    <w:rsid w:val="00AE38BE"/>
    <w:rsid w:val="00AE3DE4"/>
    <w:rsid w:val="00AE3F0F"/>
    <w:rsid w:val="00AE3F51"/>
    <w:rsid w:val="00AE415A"/>
    <w:rsid w:val="00AE41AA"/>
    <w:rsid w:val="00AE4221"/>
    <w:rsid w:val="00AE4666"/>
    <w:rsid w:val="00AE480F"/>
    <w:rsid w:val="00AE507A"/>
    <w:rsid w:val="00AE50A3"/>
    <w:rsid w:val="00AE512C"/>
    <w:rsid w:val="00AE5192"/>
    <w:rsid w:val="00AE5958"/>
    <w:rsid w:val="00AE5E71"/>
    <w:rsid w:val="00AE6038"/>
    <w:rsid w:val="00AE6101"/>
    <w:rsid w:val="00AE6387"/>
    <w:rsid w:val="00AE638F"/>
    <w:rsid w:val="00AE6C28"/>
    <w:rsid w:val="00AE6C3B"/>
    <w:rsid w:val="00AE6E2E"/>
    <w:rsid w:val="00AE7313"/>
    <w:rsid w:val="00AE7459"/>
    <w:rsid w:val="00AE7B94"/>
    <w:rsid w:val="00AF0132"/>
    <w:rsid w:val="00AF029D"/>
    <w:rsid w:val="00AF053C"/>
    <w:rsid w:val="00AF075E"/>
    <w:rsid w:val="00AF0B99"/>
    <w:rsid w:val="00AF0D89"/>
    <w:rsid w:val="00AF102B"/>
    <w:rsid w:val="00AF16D5"/>
    <w:rsid w:val="00AF1857"/>
    <w:rsid w:val="00AF1AC9"/>
    <w:rsid w:val="00AF230E"/>
    <w:rsid w:val="00AF38D3"/>
    <w:rsid w:val="00AF39CA"/>
    <w:rsid w:val="00AF4235"/>
    <w:rsid w:val="00AF449E"/>
    <w:rsid w:val="00AF44B1"/>
    <w:rsid w:val="00AF452B"/>
    <w:rsid w:val="00AF4910"/>
    <w:rsid w:val="00AF4A7E"/>
    <w:rsid w:val="00AF5239"/>
    <w:rsid w:val="00AF5E60"/>
    <w:rsid w:val="00AF5E89"/>
    <w:rsid w:val="00AF6310"/>
    <w:rsid w:val="00AF6533"/>
    <w:rsid w:val="00AF662D"/>
    <w:rsid w:val="00AF7882"/>
    <w:rsid w:val="00AF7C16"/>
    <w:rsid w:val="00AF7D4F"/>
    <w:rsid w:val="00B0002A"/>
    <w:rsid w:val="00B0033E"/>
    <w:rsid w:val="00B003A5"/>
    <w:rsid w:val="00B004D0"/>
    <w:rsid w:val="00B0071B"/>
    <w:rsid w:val="00B00AB6"/>
    <w:rsid w:val="00B01677"/>
    <w:rsid w:val="00B01863"/>
    <w:rsid w:val="00B023F0"/>
    <w:rsid w:val="00B02697"/>
    <w:rsid w:val="00B028A8"/>
    <w:rsid w:val="00B028D2"/>
    <w:rsid w:val="00B0292C"/>
    <w:rsid w:val="00B02F0B"/>
    <w:rsid w:val="00B03791"/>
    <w:rsid w:val="00B03A5B"/>
    <w:rsid w:val="00B044E1"/>
    <w:rsid w:val="00B044FE"/>
    <w:rsid w:val="00B0454F"/>
    <w:rsid w:val="00B048ED"/>
    <w:rsid w:val="00B0493A"/>
    <w:rsid w:val="00B04AE7"/>
    <w:rsid w:val="00B05469"/>
    <w:rsid w:val="00B055DE"/>
    <w:rsid w:val="00B05674"/>
    <w:rsid w:val="00B06065"/>
    <w:rsid w:val="00B06433"/>
    <w:rsid w:val="00B06821"/>
    <w:rsid w:val="00B07012"/>
    <w:rsid w:val="00B07472"/>
    <w:rsid w:val="00B077FB"/>
    <w:rsid w:val="00B0788D"/>
    <w:rsid w:val="00B07E53"/>
    <w:rsid w:val="00B10341"/>
    <w:rsid w:val="00B103FF"/>
    <w:rsid w:val="00B1067C"/>
    <w:rsid w:val="00B10B59"/>
    <w:rsid w:val="00B10BC3"/>
    <w:rsid w:val="00B10DBE"/>
    <w:rsid w:val="00B10F0B"/>
    <w:rsid w:val="00B10FA3"/>
    <w:rsid w:val="00B1123C"/>
    <w:rsid w:val="00B119AF"/>
    <w:rsid w:val="00B11CA4"/>
    <w:rsid w:val="00B11DA3"/>
    <w:rsid w:val="00B123FB"/>
    <w:rsid w:val="00B124BF"/>
    <w:rsid w:val="00B12573"/>
    <w:rsid w:val="00B12B08"/>
    <w:rsid w:val="00B12B3D"/>
    <w:rsid w:val="00B12E24"/>
    <w:rsid w:val="00B13129"/>
    <w:rsid w:val="00B13334"/>
    <w:rsid w:val="00B133B9"/>
    <w:rsid w:val="00B1384F"/>
    <w:rsid w:val="00B140ED"/>
    <w:rsid w:val="00B1455A"/>
    <w:rsid w:val="00B1468E"/>
    <w:rsid w:val="00B1477D"/>
    <w:rsid w:val="00B15776"/>
    <w:rsid w:val="00B160D6"/>
    <w:rsid w:val="00B163C2"/>
    <w:rsid w:val="00B1654B"/>
    <w:rsid w:val="00B177BE"/>
    <w:rsid w:val="00B17982"/>
    <w:rsid w:val="00B17B8F"/>
    <w:rsid w:val="00B17FC0"/>
    <w:rsid w:val="00B20250"/>
    <w:rsid w:val="00B20A19"/>
    <w:rsid w:val="00B21314"/>
    <w:rsid w:val="00B2197F"/>
    <w:rsid w:val="00B21F93"/>
    <w:rsid w:val="00B2213E"/>
    <w:rsid w:val="00B227F3"/>
    <w:rsid w:val="00B22FC7"/>
    <w:rsid w:val="00B2327F"/>
    <w:rsid w:val="00B23A7B"/>
    <w:rsid w:val="00B23C00"/>
    <w:rsid w:val="00B242AD"/>
    <w:rsid w:val="00B248E7"/>
    <w:rsid w:val="00B24C56"/>
    <w:rsid w:val="00B24D0D"/>
    <w:rsid w:val="00B24DF2"/>
    <w:rsid w:val="00B24EB9"/>
    <w:rsid w:val="00B25487"/>
    <w:rsid w:val="00B254B0"/>
    <w:rsid w:val="00B2551E"/>
    <w:rsid w:val="00B259C7"/>
    <w:rsid w:val="00B25A34"/>
    <w:rsid w:val="00B260D3"/>
    <w:rsid w:val="00B264C1"/>
    <w:rsid w:val="00B26959"/>
    <w:rsid w:val="00B26AC6"/>
    <w:rsid w:val="00B26EBE"/>
    <w:rsid w:val="00B2758E"/>
    <w:rsid w:val="00B275B9"/>
    <w:rsid w:val="00B2770C"/>
    <w:rsid w:val="00B279DB"/>
    <w:rsid w:val="00B30470"/>
    <w:rsid w:val="00B3097E"/>
    <w:rsid w:val="00B30B30"/>
    <w:rsid w:val="00B30CA7"/>
    <w:rsid w:val="00B30EDB"/>
    <w:rsid w:val="00B314EB"/>
    <w:rsid w:val="00B31603"/>
    <w:rsid w:val="00B319F3"/>
    <w:rsid w:val="00B3242F"/>
    <w:rsid w:val="00B33158"/>
    <w:rsid w:val="00B3371B"/>
    <w:rsid w:val="00B33800"/>
    <w:rsid w:val="00B33B80"/>
    <w:rsid w:val="00B3453E"/>
    <w:rsid w:val="00B347A7"/>
    <w:rsid w:val="00B34F47"/>
    <w:rsid w:val="00B34FCF"/>
    <w:rsid w:val="00B35012"/>
    <w:rsid w:val="00B35185"/>
    <w:rsid w:val="00B359D4"/>
    <w:rsid w:val="00B36073"/>
    <w:rsid w:val="00B3655F"/>
    <w:rsid w:val="00B36877"/>
    <w:rsid w:val="00B37075"/>
    <w:rsid w:val="00B373BF"/>
    <w:rsid w:val="00B3744F"/>
    <w:rsid w:val="00B37466"/>
    <w:rsid w:val="00B378E1"/>
    <w:rsid w:val="00B37F51"/>
    <w:rsid w:val="00B40088"/>
    <w:rsid w:val="00B40189"/>
    <w:rsid w:val="00B40355"/>
    <w:rsid w:val="00B41291"/>
    <w:rsid w:val="00B41792"/>
    <w:rsid w:val="00B41D35"/>
    <w:rsid w:val="00B41D89"/>
    <w:rsid w:val="00B423D5"/>
    <w:rsid w:val="00B42767"/>
    <w:rsid w:val="00B427F0"/>
    <w:rsid w:val="00B4294D"/>
    <w:rsid w:val="00B42DCC"/>
    <w:rsid w:val="00B433B3"/>
    <w:rsid w:val="00B433F9"/>
    <w:rsid w:val="00B43419"/>
    <w:rsid w:val="00B43520"/>
    <w:rsid w:val="00B4356E"/>
    <w:rsid w:val="00B435D9"/>
    <w:rsid w:val="00B43A93"/>
    <w:rsid w:val="00B4435A"/>
    <w:rsid w:val="00B446D9"/>
    <w:rsid w:val="00B4479E"/>
    <w:rsid w:val="00B448A7"/>
    <w:rsid w:val="00B44D77"/>
    <w:rsid w:val="00B454CB"/>
    <w:rsid w:val="00B45E2C"/>
    <w:rsid w:val="00B4604F"/>
    <w:rsid w:val="00B4664D"/>
    <w:rsid w:val="00B4719E"/>
    <w:rsid w:val="00B47397"/>
    <w:rsid w:val="00B47532"/>
    <w:rsid w:val="00B47828"/>
    <w:rsid w:val="00B47E5B"/>
    <w:rsid w:val="00B502C5"/>
    <w:rsid w:val="00B503B6"/>
    <w:rsid w:val="00B50473"/>
    <w:rsid w:val="00B505E6"/>
    <w:rsid w:val="00B50940"/>
    <w:rsid w:val="00B50ADD"/>
    <w:rsid w:val="00B50BE1"/>
    <w:rsid w:val="00B51612"/>
    <w:rsid w:val="00B5176C"/>
    <w:rsid w:val="00B517FB"/>
    <w:rsid w:val="00B5250F"/>
    <w:rsid w:val="00B525C0"/>
    <w:rsid w:val="00B52743"/>
    <w:rsid w:val="00B5295F"/>
    <w:rsid w:val="00B536C6"/>
    <w:rsid w:val="00B53864"/>
    <w:rsid w:val="00B53A1A"/>
    <w:rsid w:val="00B53DCC"/>
    <w:rsid w:val="00B54847"/>
    <w:rsid w:val="00B5637C"/>
    <w:rsid w:val="00B56B47"/>
    <w:rsid w:val="00B56C32"/>
    <w:rsid w:val="00B56CF7"/>
    <w:rsid w:val="00B56DD1"/>
    <w:rsid w:val="00B57423"/>
    <w:rsid w:val="00B575FF"/>
    <w:rsid w:val="00B57A69"/>
    <w:rsid w:val="00B57D62"/>
    <w:rsid w:val="00B6006C"/>
    <w:rsid w:val="00B608DC"/>
    <w:rsid w:val="00B60AF0"/>
    <w:rsid w:val="00B61561"/>
    <w:rsid w:val="00B61648"/>
    <w:rsid w:val="00B616EE"/>
    <w:rsid w:val="00B61847"/>
    <w:rsid w:val="00B61D63"/>
    <w:rsid w:val="00B62129"/>
    <w:rsid w:val="00B629DB"/>
    <w:rsid w:val="00B62F41"/>
    <w:rsid w:val="00B6365A"/>
    <w:rsid w:val="00B638BF"/>
    <w:rsid w:val="00B639B1"/>
    <w:rsid w:val="00B63BA0"/>
    <w:rsid w:val="00B63CDA"/>
    <w:rsid w:val="00B63F4C"/>
    <w:rsid w:val="00B63F6C"/>
    <w:rsid w:val="00B64228"/>
    <w:rsid w:val="00B643CE"/>
    <w:rsid w:val="00B649F1"/>
    <w:rsid w:val="00B64C00"/>
    <w:rsid w:val="00B64E4B"/>
    <w:rsid w:val="00B65012"/>
    <w:rsid w:val="00B65662"/>
    <w:rsid w:val="00B65C42"/>
    <w:rsid w:val="00B660E7"/>
    <w:rsid w:val="00B66213"/>
    <w:rsid w:val="00B66BA8"/>
    <w:rsid w:val="00B66E29"/>
    <w:rsid w:val="00B66FC3"/>
    <w:rsid w:val="00B67C5A"/>
    <w:rsid w:val="00B67FAD"/>
    <w:rsid w:val="00B702F8"/>
    <w:rsid w:val="00B7037B"/>
    <w:rsid w:val="00B707B4"/>
    <w:rsid w:val="00B70ED4"/>
    <w:rsid w:val="00B70F35"/>
    <w:rsid w:val="00B712E7"/>
    <w:rsid w:val="00B71C3E"/>
    <w:rsid w:val="00B72034"/>
    <w:rsid w:val="00B722E3"/>
    <w:rsid w:val="00B72433"/>
    <w:rsid w:val="00B72774"/>
    <w:rsid w:val="00B72F36"/>
    <w:rsid w:val="00B7336A"/>
    <w:rsid w:val="00B7336C"/>
    <w:rsid w:val="00B739E5"/>
    <w:rsid w:val="00B73F88"/>
    <w:rsid w:val="00B7402D"/>
    <w:rsid w:val="00B7495F"/>
    <w:rsid w:val="00B75538"/>
    <w:rsid w:val="00B755CE"/>
    <w:rsid w:val="00B756EA"/>
    <w:rsid w:val="00B76053"/>
    <w:rsid w:val="00B76A44"/>
    <w:rsid w:val="00B77489"/>
    <w:rsid w:val="00B77BA0"/>
    <w:rsid w:val="00B77F0D"/>
    <w:rsid w:val="00B77F54"/>
    <w:rsid w:val="00B80045"/>
    <w:rsid w:val="00B803F2"/>
    <w:rsid w:val="00B8062A"/>
    <w:rsid w:val="00B808BF"/>
    <w:rsid w:val="00B808EF"/>
    <w:rsid w:val="00B80B5B"/>
    <w:rsid w:val="00B818B5"/>
    <w:rsid w:val="00B81E8D"/>
    <w:rsid w:val="00B823B1"/>
    <w:rsid w:val="00B82552"/>
    <w:rsid w:val="00B82D3B"/>
    <w:rsid w:val="00B8317E"/>
    <w:rsid w:val="00B84012"/>
    <w:rsid w:val="00B84627"/>
    <w:rsid w:val="00B851DE"/>
    <w:rsid w:val="00B85A42"/>
    <w:rsid w:val="00B85ACC"/>
    <w:rsid w:val="00B85D4F"/>
    <w:rsid w:val="00B85F2A"/>
    <w:rsid w:val="00B86231"/>
    <w:rsid w:val="00B862AA"/>
    <w:rsid w:val="00B864AD"/>
    <w:rsid w:val="00B86F4F"/>
    <w:rsid w:val="00B87203"/>
    <w:rsid w:val="00B87354"/>
    <w:rsid w:val="00B878C4"/>
    <w:rsid w:val="00B87C15"/>
    <w:rsid w:val="00B90605"/>
    <w:rsid w:val="00B90F27"/>
    <w:rsid w:val="00B913FB"/>
    <w:rsid w:val="00B919C5"/>
    <w:rsid w:val="00B91A1B"/>
    <w:rsid w:val="00B91E79"/>
    <w:rsid w:val="00B920EF"/>
    <w:rsid w:val="00B920F8"/>
    <w:rsid w:val="00B92B3E"/>
    <w:rsid w:val="00B932FA"/>
    <w:rsid w:val="00B938F8"/>
    <w:rsid w:val="00B93EC5"/>
    <w:rsid w:val="00B94425"/>
    <w:rsid w:val="00B94456"/>
    <w:rsid w:val="00B94793"/>
    <w:rsid w:val="00B94A3D"/>
    <w:rsid w:val="00B94AE5"/>
    <w:rsid w:val="00B94B44"/>
    <w:rsid w:val="00B94F1B"/>
    <w:rsid w:val="00B94F1E"/>
    <w:rsid w:val="00B95263"/>
    <w:rsid w:val="00B956A2"/>
    <w:rsid w:val="00B959E4"/>
    <w:rsid w:val="00B95A88"/>
    <w:rsid w:val="00B95B8F"/>
    <w:rsid w:val="00B96036"/>
    <w:rsid w:val="00B961AE"/>
    <w:rsid w:val="00B96813"/>
    <w:rsid w:val="00B96A71"/>
    <w:rsid w:val="00B96F85"/>
    <w:rsid w:val="00BA0153"/>
    <w:rsid w:val="00BA01DE"/>
    <w:rsid w:val="00BA0D06"/>
    <w:rsid w:val="00BA11D9"/>
    <w:rsid w:val="00BA14B1"/>
    <w:rsid w:val="00BA17E2"/>
    <w:rsid w:val="00BA1852"/>
    <w:rsid w:val="00BA1A1B"/>
    <w:rsid w:val="00BA1F28"/>
    <w:rsid w:val="00BA1F82"/>
    <w:rsid w:val="00BA1FBD"/>
    <w:rsid w:val="00BA2974"/>
    <w:rsid w:val="00BA2C15"/>
    <w:rsid w:val="00BA2CDC"/>
    <w:rsid w:val="00BA2DF7"/>
    <w:rsid w:val="00BA31FC"/>
    <w:rsid w:val="00BA3382"/>
    <w:rsid w:val="00BA3551"/>
    <w:rsid w:val="00BA35C2"/>
    <w:rsid w:val="00BA365C"/>
    <w:rsid w:val="00BA3976"/>
    <w:rsid w:val="00BA43B2"/>
    <w:rsid w:val="00BA4471"/>
    <w:rsid w:val="00BA47A4"/>
    <w:rsid w:val="00BA4901"/>
    <w:rsid w:val="00BA49A8"/>
    <w:rsid w:val="00BA4EB3"/>
    <w:rsid w:val="00BA5172"/>
    <w:rsid w:val="00BA53FC"/>
    <w:rsid w:val="00BA5653"/>
    <w:rsid w:val="00BA593F"/>
    <w:rsid w:val="00BA5F3C"/>
    <w:rsid w:val="00BA61A8"/>
    <w:rsid w:val="00BA62E9"/>
    <w:rsid w:val="00BA6329"/>
    <w:rsid w:val="00BA63F2"/>
    <w:rsid w:val="00BA684A"/>
    <w:rsid w:val="00BA6E8D"/>
    <w:rsid w:val="00BA73B4"/>
    <w:rsid w:val="00BA778B"/>
    <w:rsid w:val="00BA7ACA"/>
    <w:rsid w:val="00BA7FD3"/>
    <w:rsid w:val="00BB0DDD"/>
    <w:rsid w:val="00BB0F30"/>
    <w:rsid w:val="00BB1007"/>
    <w:rsid w:val="00BB100A"/>
    <w:rsid w:val="00BB106F"/>
    <w:rsid w:val="00BB1AAE"/>
    <w:rsid w:val="00BB1C5D"/>
    <w:rsid w:val="00BB2156"/>
    <w:rsid w:val="00BB2285"/>
    <w:rsid w:val="00BB2CB7"/>
    <w:rsid w:val="00BB3003"/>
    <w:rsid w:val="00BB3701"/>
    <w:rsid w:val="00BB3705"/>
    <w:rsid w:val="00BB381B"/>
    <w:rsid w:val="00BB3925"/>
    <w:rsid w:val="00BB3B09"/>
    <w:rsid w:val="00BB41C5"/>
    <w:rsid w:val="00BB4672"/>
    <w:rsid w:val="00BB473B"/>
    <w:rsid w:val="00BB5CB2"/>
    <w:rsid w:val="00BB5D6A"/>
    <w:rsid w:val="00BB5FAD"/>
    <w:rsid w:val="00BB6524"/>
    <w:rsid w:val="00BB6728"/>
    <w:rsid w:val="00BB6CD8"/>
    <w:rsid w:val="00BB6D1F"/>
    <w:rsid w:val="00BB6D76"/>
    <w:rsid w:val="00BB71DC"/>
    <w:rsid w:val="00BB7680"/>
    <w:rsid w:val="00BB78B0"/>
    <w:rsid w:val="00BC0A2A"/>
    <w:rsid w:val="00BC0F5A"/>
    <w:rsid w:val="00BC15AF"/>
    <w:rsid w:val="00BC16B2"/>
    <w:rsid w:val="00BC1824"/>
    <w:rsid w:val="00BC2762"/>
    <w:rsid w:val="00BC2862"/>
    <w:rsid w:val="00BC2C64"/>
    <w:rsid w:val="00BC2F82"/>
    <w:rsid w:val="00BC353C"/>
    <w:rsid w:val="00BC374E"/>
    <w:rsid w:val="00BC3958"/>
    <w:rsid w:val="00BC3A1B"/>
    <w:rsid w:val="00BC3BAA"/>
    <w:rsid w:val="00BC40E5"/>
    <w:rsid w:val="00BC510E"/>
    <w:rsid w:val="00BC54E0"/>
    <w:rsid w:val="00BC64A8"/>
    <w:rsid w:val="00BC6881"/>
    <w:rsid w:val="00BC6ABC"/>
    <w:rsid w:val="00BC701B"/>
    <w:rsid w:val="00BC750F"/>
    <w:rsid w:val="00BC779C"/>
    <w:rsid w:val="00BC77E8"/>
    <w:rsid w:val="00BC78BA"/>
    <w:rsid w:val="00BC7BF9"/>
    <w:rsid w:val="00BC7EE2"/>
    <w:rsid w:val="00BD09D2"/>
    <w:rsid w:val="00BD0EB2"/>
    <w:rsid w:val="00BD11E6"/>
    <w:rsid w:val="00BD12BB"/>
    <w:rsid w:val="00BD15C2"/>
    <w:rsid w:val="00BD17D7"/>
    <w:rsid w:val="00BD1F19"/>
    <w:rsid w:val="00BD2D37"/>
    <w:rsid w:val="00BD330C"/>
    <w:rsid w:val="00BD499C"/>
    <w:rsid w:val="00BD539A"/>
    <w:rsid w:val="00BD56F4"/>
    <w:rsid w:val="00BD595C"/>
    <w:rsid w:val="00BD5BD0"/>
    <w:rsid w:val="00BD6CCF"/>
    <w:rsid w:val="00BD7389"/>
    <w:rsid w:val="00BD7C9C"/>
    <w:rsid w:val="00BD7DE5"/>
    <w:rsid w:val="00BE0E0D"/>
    <w:rsid w:val="00BE0F0E"/>
    <w:rsid w:val="00BE0F22"/>
    <w:rsid w:val="00BE1447"/>
    <w:rsid w:val="00BE1544"/>
    <w:rsid w:val="00BE1CDA"/>
    <w:rsid w:val="00BE27C5"/>
    <w:rsid w:val="00BE2D5A"/>
    <w:rsid w:val="00BE312E"/>
    <w:rsid w:val="00BE3282"/>
    <w:rsid w:val="00BE380A"/>
    <w:rsid w:val="00BE3CEB"/>
    <w:rsid w:val="00BE3E94"/>
    <w:rsid w:val="00BE4BFD"/>
    <w:rsid w:val="00BE5115"/>
    <w:rsid w:val="00BE546C"/>
    <w:rsid w:val="00BE56A2"/>
    <w:rsid w:val="00BE596A"/>
    <w:rsid w:val="00BE603F"/>
    <w:rsid w:val="00BE671D"/>
    <w:rsid w:val="00BE7509"/>
    <w:rsid w:val="00BE757A"/>
    <w:rsid w:val="00BE7FE8"/>
    <w:rsid w:val="00BF022D"/>
    <w:rsid w:val="00BF06E8"/>
    <w:rsid w:val="00BF08FC"/>
    <w:rsid w:val="00BF0C61"/>
    <w:rsid w:val="00BF0DC2"/>
    <w:rsid w:val="00BF1357"/>
    <w:rsid w:val="00BF1369"/>
    <w:rsid w:val="00BF1C7F"/>
    <w:rsid w:val="00BF1E20"/>
    <w:rsid w:val="00BF1F99"/>
    <w:rsid w:val="00BF2304"/>
    <w:rsid w:val="00BF290A"/>
    <w:rsid w:val="00BF29B6"/>
    <w:rsid w:val="00BF372C"/>
    <w:rsid w:val="00BF377C"/>
    <w:rsid w:val="00BF39A3"/>
    <w:rsid w:val="00BF42E7"/>
    <w:rsid w:val="00BF447E"/>
    <w:rsid w:val="00BF4703"/>
    <w:rsid w:val="00BF49FE"/>
    <w:rsid w:val="00BF4F8E"/>
    <w:rsid w:val="00BF5564"/>
    <w:rsid w:val="00BF55F8"/>
    <w:rsid w:val="00BF5732"/>
    <w:rsid w:val="00BF5954"/>
    <w:rsid w:val="00BF5FCC"/>
    <w:rsid w:val="00BF6766"/>
    <w:rsid w:val="00BF7A01"/>
    <w:rsid w:val="00BF7B30"/>
    <w:rsid w:val="00BF7BEC"/>
    <w:rsid w:val="00BF7ED2"/>
    <w:rsid w:val="00C00873"/>
    <w:rsid w:val="00C00915"/>
    <w:rsid w:val="00C00A42"/>
    <w:rsid w:val="00C00A4D"/>
    <w:rsid w:val="00C00F81"/>
    <w:rsid w:val="00C019A8"/>
    <w:rsid w:val="00C02290"/>
    <w:rsid w:val="00C02890"/>
    <w:rsid w:val="00C02A5E"/>
    <w:rsid w:val="00C030EB"/>
    <w:rsid w:val="00C03204"/>
    <w:rsid w:val="00C03331"/>
    <w:rsid w:val="00C03A44"/>
    <w:rsid w:val="00C0422E"/>
    <w:rsid w:val="00C046B2"/>
    <w:rsid w:val="00C04D55"/>
    <w:rsid w:val="00C04D5C"/>
    <w:rsid w:val="00C04DDA"/>
    <w:rsid w:val="00C0588A"/>
    <w:rsid w:val="00C066D1"/>
    <w:rsid w:val="00C06CA7"/>
    <w:rsid w:val="00C06DEC"/>
    <w:rsid w:val="00C0720D"/>
    <w:rsid w:val="00C076AD"/>
    <w:rsid w:val="00C078CE"/>
    <w:rsid w:val="00C1050B"/>
    <w:rsid w:val="00C105BB"/>
    <w:rsid w:val="00C1111C"/>
    <w:rsid w:val="00C11229"/>
    <w:rsid w:val="00C11EB0"/>
    <w:rsid w:val="00C12430"/>
    <w:rsid w:val="00C1295F"/>
    <w:rsid w:val="00C12D18"/>
    <w:rsid w:val="00C12DFF"/>
    <w:rsid w:val="00C133E4"/>
    <w:rsid w:val="00C135A9"/>
    <w:rsid w:val="00C137FC"/>
    <w:rsid w:val="00C13A0F"/>
    <w:rsid w:val="00C13A34"/>
    <w:rsid w:val="00C145BE"/>
    <w:rsid w:val="00C15097"/>
    <w:rsid w:val="00C158D6"/>
    <w:rsid w:val="00C1590E"/>
    <w:rsid w:val="00C15B50"/>
    <w:rsid w:val="00C15C5E"/>
    <w:rsid w:val="00C15C80"/>
    <w:rsid w:val="00C15FC4"/>
    <w:rsid w:val="00C1685D"/>
    <w:rsid w:val="00C17479"/>
    <w:rsid w:val="00C1752A"/>
    <w:rsid w:val="00C17628"/>
    <w:rsid w:val="00C17710"/>
    <w:rsid w:val="00C20222"/>
    <w:rsid w:val="00C2026B"/>
    <w:rsid w:val="00C20641"/>
    <w:rsid w:val="00C206DB"/>
    <w:rsid w:val="00C20864"/>
    <w:rsid w:val="00C20C85"/>
    <w:rsid w:val="00C21650"/>
    <w:rsid w:val="00C216BD"/>
    <w:rsid w:val="00C218F5"/>
    <w:rsid w:val="00C23ADC"/>
    <w:rsid w:val="00C23FBE"/>
    <w:rsid w:val="00C24984"/>
    <w:rsid w:val="00C25192"/>
    <w:rsid w:val="00C258FB"/>
    <w:rsid w:val="00C267F8"/>
    <w:rsid w:val="00C26A71"/>
    <w:rsid w:val="00C26B32"/>
    <w:rsid w:val="00C26D4C"/>
    <w:rsid w:val="00C2742D"/>
    <w:rsid w:val="00C277FC"/>
    <w:rsid w:val="00C27F8D"/>
    <w:rsid w:val="00C303B6"/>
    <w:rsid w:val="00C30F8B"/>
    <w:rsid w:val="00C3115B"/>
    <w:rsid w:val="00C31AAB"/>
    <w:rsid w:val="00C31C18"/>
    <w:rsid w:val="00C31D7C"/>
    <w:rsid w:val="00C31ED9"/>
    <w:rsid w:val="00C31F43"/>
    <w:rsid w:val="00C32192"/>
    <w:rsid w:val="00C321B1"/>
    <w:rsid w:val="00C32733"/>
    <w:rsid w:val="00C32B43"/>
    <w:rsid w:val="00C33180"/>
    <w:rsid w:val="00C33406"/>
    <w:rsid w:val="00C334EE"/>
    <w:rsid w:val="00C339A7"/>
    <w:rsid w:val="00C33E3E"/>
    <w:rsid w:val="00C33EA5"/>
    <w:rsid w:val="00C347C1"/>
    <w:rsid w:val="00C35C6B"/>
    <w:rsid w:val="00C36243"/>
    <w:rsid w:val="00C36BE8"/>
    <w:rsid w:val="00C36C78"/>
    <w:rsid w:val="00C373C6"/>
    <w:rsid w:val="00C404EF"/>
    <w:rsid w:val="00C40AF8"/>
    <w:rsid w:val="00C40C70"/>
    <w:rsid w:val="00C413B4"/>
    <w:rsid w:val="00C4152C"/>
    <w:rsid w:val="00C41ADD"/>
    <w:rsid w:val="00C42229"/>
    <w:rsid w:val="00C4336A"/>
    <w:rsid w:val="00C4343D"/>
    <w:rsid w:val="00C435D9"/>
    <w:rsid w:val="00C43CE6"/>
    <w:rsid w:val="00C43DAD"/>
    <w:rsid w:val="00C4432A"/>
    <w:rsid w:val="00C445D6"/>
    <w:rsid w:val="00C44E71"/>
    <w:rsid w:val="00C44E75"/>
    <w:rsid w:val="00C45863"/>
    <w:rsid w:val="00C46323"/>
    <w:rsid w:val="00C465F4"/>
    <w:rsid w:val="00C467BE"/>
    <w:rsid w:val="00C4682A"/>
    <w:rsid w:val="00C46BC7"/>
    <w:rsid w:val="00C46D10"/>
    <w:rsid w:val="00C46D51"/>
    <w:rsid w:val="00C4722A"/>
    <w:rsid w:val="00C47B26"/>
    <w:rsid w:val="00C47BF0"/>
    <w:rsid w:val="00C5019D"/>
    <w:rsid w:val="00C50272"/>
    <w:rsid w:val="00C5041C"/>
    <w:rsid w:val="00C50D56"/>
    <w:rsid w:val="00C51505"/>
    <w:rsid w:val="00C51A01"/>
    <w:rsid w:val="00C51C0E"/>
    <w:rsid w:val="00C51C86"/>
    <w:rsid w:val="00C51CA1"/>
    <w:rsid w:val="00C51FE2"/>
    <w:rsid w:val="00C525F4"/>
    <w:rsid w:val="00C5270B"/>
    <w:rsid w:val="00C529BF"/>
    <w:rsid w:val="00C52B10"/>
    <w:rsid w:val="00C52BF2"/>
    <w:rsid w:val="00C53475"/>
    <w:rsid w:val="00C53BAE"/>
    <w:rsid w:val="00C53BD7"/>
    <w:rsid w:val="00C540D1"/>
    <w:rsid w:val="00C54609"/>
    <w:rsid w:val="00C546DD"/>
    <w:rsid w:val="00C54D0A"/>
    <w:rsid w:val="00C54F78"/>
    <w:rsid w:val="00C5564F"/>
    <w:rsid w:val="00C55A72"/>
    <w:rsid w:val="00C55DF9"/>
    <w:rsid w:val="00C5625D"/>
    <w:rsid w:val="00C562A9"/>
    <w:rsid w:val="00C5639E"/>
    <w:rsid w:val="00C56838"/>
    <w:rsid w:val="00C56BAA"/>
    <w:rsid w:val="00C5739F"/>
    <w:rsid w:val="00C57615"/>
    <w:rsid w:val="00C577B3"/>
    <w:rsid w:val="00C6048D"/>
    <w:rsid w:val="00C6087D"/>
    <w:rsid w:val="00C612A7"/>
    <w:rsid w:val="00C622AE"/>
    <w:rsid w:val="00C624BA"/>
    <w:rsid w:val="00C62586"/>
    <w:rsid w:val="00C62C1E"/>
    <w:rsid w:val="00C62D63"/>
    <w:rsid w:val="00C6379C"/>
    <w:rsid w:val="00C6473C"/>
    <w:rsid w:val="00C6519F"/>
    <w:rsid w:val="00C6532D"/>
    <w:rsid w:val="00C6608D"/>
    <w:rsid w:val="00C66537"/>
    <w:rsid w:val="00C66771"/>
    <w:rsid w:val="00C6688C"/>
    <w:rsid w:val="00C66B3B"/>
    <w:rsid w:val="00C6799F"/>
    <w:rsid w:val="00C67E43"/>
    <w:rsid w:val="00C70421"/>
    <w:rsid w:val="00C70FD9"/>
    <w:rsid w:val="00C7106E"/>
    <w:rsid w:val="00C71160"/>
    <w:rsid w:val="00C71368"/>
    <w:rsid w:val="00C717C9"/>
    <w:rsid w:val="00C71FBF"/>
    <w:rsid w:val="00C7204D"/>
    <w:rsid w:val="00C7216B"/>
    <w:rsid w:val="00C7253B"/>
    <w:rsid w:val="00C72D9B"/>
    <w:rsid w:val="00C7317C"/>
    <w:rsid w:val="00C733CA"/>
    <w:rsid w:val="00C737B6"/>
    <w:rsid w:val="00C739E0"/>
    <w:rsid w:val="00C73CD9"/>
    <w:rsid w:val="00C7406C"/>
    <w:rsid w:val="00C741C9"/>
    <w:rsid w:val="00C74244"/>
    <w:rsid w:val="00C74472"/>
    <w:rsid w:val="00C746C9"/>
    <w:rsid w:val="00C747BA"/>
    <w:rsid w:val="00C74C2F"/>
    <w:rsid w:val="00C750C7"/>
    <w:rsid w:val="00C75161"/>
    <w:rsid w:val="00C75824"/>
    <w:rsid w:val="00C760D3"/>
    <w:rsid w:val="00C762DA"/>
    <w:rsid w:val="00C76F5A"/>
    <w:rsid w:val="00C774C9"/>
    <w:rsid w:val="00C774D5"/>
    <w:rsid w:val="00C777C0"/>
    <w:rsid w:val="00C77E1A"/>
    <w:rsid w:val="00C80166"/>
    <w:rsid w:val="00C8036C"/>
    <w:rsid w:val="00C80A2F"/>
    <w:rsid w:val="00C80EC2"/>
    <w:rsid w:val="00C8174A"/>
    <w:rsid w:val="00C819A7"/>
    <w:rsid w:val="00C81A71"/>
    <w:rsid w:val="00C822F8"/>
    <w:rsid w:val="00C82463"/>
    <w:rsid w:val="00C826DF"/>
    <w:rsid w:val="00C83433"/>
    <w:rsid w:val="00C8361E"/>
    <w:rsid w:val="00C841FE"/>
    <w:rsid w:val="00C84857"/>
    <w:rsid w:val="00C848B6"/>
    <w:rsid w:val="00C84A5E"/>
    <w:rsid w:val="00C84CE2"/>
    <w:rsid w:val="00C84DC3"/>
    <w:rsid w:val="00C8513E"/>
    <w:rsid w:val="00C85493"/>
    <w:rsid w:val="00C8618C"/>
    <w:rsid w:val="00C86652"/>
    <w:rsid w:val="00C8700C"/>
    <w:rsid w:val="00C87391"/>
    <w:rsid w:val="00C8758E"/>
    <w:rsid w:val="00C87684"/>
    <w:rsid w:val="00C876D8"/>
    <w:rsid w:val="00C8772C"/>
    <w:rsid w:val="00C8794C"/>
    <w:rsid w:val="00C87A70"/>
    <w:rsid w:val="00C87A8F"/>
    <w:rsid w:val="00C87AEE"/>
    <w:rsid w:val="00C90217"/>
    <w:rsid w:val="00C902E0"/>
    <w:rsid w:val="00C90BAF"/>
    <w:rsid w:val="00C90E7A"/>
    <w:rsid w:val="00C91011"/>
    <w:rsid w:val="00C913ED"/>
    <w:rsid w:val="00C919EE"/>
    <w:rsid w:val="00C92210"/>
    <w:rsid w:val="00C92440"/>
    <w:rsid w:val="00C926DE"/>
    <w:rsid w:val="00C9282F"/>
    <w:rsid w:val="00C930CE"/>
    <w:rsid w:val="00C93B3A"/>
    <w:rsid w:val="00C93DAC"/>
    <w:rsid w:val="00C93F79"/>
    <w:rsid w:val="00C948DC"/>
    <w:rsid w:val="00C94AAE"/>
    <w:rsid w:val="00C94D22"/>
    <w:rsid w:val="00C95778"/>
    <w:rsid w:val="00C962B2"/>
    <w:rsid w:val="00C96488"/>
    <w:rsid w:val="00C96833"/>
    <w:rsid w:val="00C97B48"/>
    <w:rsid w:val="00C97F65"/>
    <w:rsid w:val="00CA0DFE"/>
    <w:rsid w:val="00CA0FB6"/>
    <w:rsid w:val="00CA13B3"/>
    <w:rsid w:val="00CA1716"/>
    <w:rsid w:val="00CA17E3"/>
    <w:rsid w:val="00CA18B6"/>
    <w:rsid w:val="00CA1A77"/>
    <w:rsid w:val="00CA237C"/>
    <w:rsid w:val="00CA3725"/>
    <w:rsid w:val="00CA38B5"/>
    <w:rsid w:val="00CA3D00"/>
    <w:rsid w:val="00CA3F39"/>
    <w:rsid w:val="00CA3F96"/>
    <w:rsid w:val="00CA4748"/>
    <w:rsid w:val="00CA485F"/>
    <w:rsid w:val="00CA4A9B"/>
    <w:rsid w:val="00CA4AFB"/>
    <w:rsid w:val="00CA4C9A"/>
    <w:rsid w:val="00CA4D3C"/>
    <w:rsid w:val="00CA5175"/>
    <w:rsid w:val="00CA5296"/>
    <w:rsid w:val="00CA5413"/>
    <w:rsid w:val="00CA57B6"/>
    <w:rsid w:val="00CA5C5F"/>
    <w:rsid w:val="00CA5E80"/>
    <w:rsid w:val="00CA6002"/>
    <w:rsid w:val="00CA67BB"/>
    <w:rsid w:val="00CA6A7F"/>
    <w:rsid w:val="00CA6DFB"/>
    <w:rsid w:val="00CA6FA3"/>
    <w:rsid w:val="00CA7122"/>
    <w:rsid w:val="00CA785A"/>
    <w:rsid w:val="00CA7872"/>
    <w:rsid w:val="00CA79B3"/>
    <w:rsid w:val="00CA7D08"/>
    <w:rsid w:val="00CA7EE7"/>
    <w:rsid w:val="00CB0590"/>
    <w:rsid w:val="00CB0C4B"/>
    <w:rsid w:val="00CB15B5"/>
    <w:rsid w:val="00CB1BC3"/>
    <w:rsid w:val="00CB1DC5"/>
    <w:rsid w:val="00CB1E5A"/>
    <w:rsid w:val="00CB2282"/>
    <w:rsid w:val="00CB249B"/>
    <w:rsid w:val="00CB275F"/>
    <w:rsid w:val="00CB29F3"/>
    <w:rsid w:val="00CB394A"/>
    <w:rsid w:val="00CB3B02"/>
    <w:rsid w:val="00CB3C94"/>
    <w:rsid w:val="00CB3CE8"/>
    <w:rsid w:val="00CB4367"/>
    <w:rsid w:val="00CB4441"/>
    <w:rsid w:val="00CB4466"/>
    <w:rsid w:val="00CB4BBB"/>
    <w:rsid w:val="00CB4EFA"/>
    <w:rsid w:val="00CB5062"/>
    <w:rsid w:val="00CB51A8"/>
    <w:rsid w:val="00CB54F8"/>
    <w:rsid w:val="00CB58D3"/>
    <w:rsid w:val="00CB5D8A"/>
    <w:rsid w:val="00CB65D7"/>
    <w:rsid w:val="00CB6935"/>
    <w:rsid w:val="00CB6A2B"/>
    <w:rsid w:val="00CB6C97"/>
    <w:rsid w:val="00CC08E8"/>
    <w:rsid w:val="00CC0910"/>
    <w:rsid w:val="00CC0AD0"/>
    <w:rsid w:val="00CC0F9B"/>
    <w:rsid w:val="00CC162E"/>
    <w:rsid w:val="00CC1B5B"/>
    <w:rsid w:val="00CC1F05"/>
    <w:rsid w:val="00CC239F"/>
    <w:rsid w:val="00CC2499"/>
    <w:rsid w:val="00CC2677"/>
    <w:rsid w:val="00CC27E3"/>
    <w:rsid w:val="00CC287C"/>
    <w:rsid w:val="00CC29D0"/>
    <w:rsid w:val="00CC2D45"/>
    <w:rsid w:val="00CC30D3"/>
    <w:rsid w:val="00CC3502"/>
    <w:rsid w:val="00CC3D73"/>
    <w:rsid w:val="00CC3E02"/>
    <w:rsid w:val="00CC4034"/>
    <w:rsid w:val="00CC408D"/>
    <w:rsid w:val="00CC4B0D"/>
    <w:rsid w:val="00CC5500"/>
    <w:rsid w:val="00CC5674"/>
    <w:rsid w:val="00CC67EF"/>
    <w:rsid w:val="00CC69D5"/>
    <w:rsid w:val="00CC6E12"/>
    <w:rsid w:val="00CC726D"/>
    <w:rsid w:val="00CC7613"/>
    <w:rsid w:val="00CC7A21"/>
    <w:rsid w:val="00CC7C58"/>
    <w:rsid w:val="00CC7DC0"/>
    <w:rsid w:val="00CD0153"/>
    <w:rsid w:val="00CD0343"/>
    <w:rsid w:val="00CD0637"/>
    <w:rsid w:val="00CD0737"/>
    <w:rsid w:val="00CD0C0B"/>
    <w:rsid w:val="00CD0F9F"/>
    <w:rsid w:val="00CD1460"/>
    <w:rsid w:val="00CD18C6"/>
    <w:rsid w:val="00CD23A1"/>
    <w:rsid w:val="00CD29EA"/>
    <w:rsid w:val="00CD2DB9"/>
    <w:rsid w:val="00CD36CA"/>
    <w:rsid w:val="00CD3745"/>
    <w:rsid w:val="00CD44DA"/>
    <w:rsid w:val="00CD467B"/>
    <w:rsid w:val="00CD4C0C"/>
    <w:rsid w:val="00CD4CCD"/>
    <w:rsid w:val="00CD5281"/>
    <w:rsid w:val="00CD538C"/>
    <w:rsid w:val="00CD5BC7"/>
    <w:rsid w:val="00CD5EBD"/>
    <w:rsid w:val="00CD6044"/>
    <w:rsid w:val="00CD6639"/>
    <w:rsid w:val="00CD6CAD"/>
    <w:rsid w:val="00CD7049"/>
    <w:rsid w:val="00CD7A4D"/>
    <w:rsid w:val="00CE01D8"/>
    <w:rsid w:val="00CE0334"/>
    <w:rsid w:val="00CE0424"/>
    <w:rsid w:val="00CE0469"/>
    <w:rsid w:val="00CE099E"/>
    <w:rsid w:val="00CE0EB9"/>
    <w:rsid w:val="00CE11E0"/>
    <w:rsid w:val="00CE1511"/>
    <w:rsid w:val="00CE16B8"/>
    <w:rsid w:val="00CE1AFD"/>
    <w:rsid w:val="00CE1DA9"/>
    <w:rsid w:val="00CE20E2"/>
    <w:rsid w:val="00CE2118"/>
    <w:rsid w:val="00CE2625"/>
    <w:rsid w:val="00CE2BF3"/>
    <w:rsid w:val="00CE2ECA"/>
    <w:rsid w:val="00CE3537"/>
    <w:rsid w:val="00CE3A1E"/>
    <w:rsid w:val="00CE49E6"/>
    <w:rsid w:val="00CE4E53"/>
    <w:rsid w:val="00CE4F94"/>
    <w:rsid w:val="00CE52D5"/>
    <w:rsid w:val="00CE5481"/>
    <w:rsid w:val="00CE5F91"/>
    <w:rsid w:val="00CE63CB"/>
    <w:rsid w:val="00CE6C3B"/>
    <w:rsid w:val="00CE6CB5"/>
    <w:rsid w:val="00CE6CE4"/>
    <w:rsid w:val="00CE6E38"/>
    <w:rsid w:val="00CE6E61"/>
    <w:rsid w:val="00CE7069"/>
    <w:rsid w:val="00CE7714"/>
    <w:rsid w:val="00CE7A9D"/>
    <w:rsid w:val="00CF02C6"/>
    <w:rsid w:val="00CF0304"/>
    <w:rsid w:val="00CF098E"/>
    <w:rsid w:val="00CF15C0"/>
    <w:rsid w:val="00CF2B4D"/>
    <w:rsid w:val="00CF310C"/>
    <w:rsid w:val="00CF38D2"/>
    <w:rsid w:val="00CF3A94"/>
    <w:rsid w:val="00CF3CE8"/>
    <w:rsid w:val="00CF3DD5"/>
    <w:rsid w:val="00CF4345"/>
    <w:rsid w:val="00CF43AC"/>
    <w:rsid w:val="00CF47E6"/>
    <w:rsid w:val="00CF55D8"/>
    <w:rsid w:val="00CF62DC"/>
    <w:rsid w:val="00CF68BA"/>
    <w:rsid w:val="00CF7282"/>
    <w:rsid w:val="00CF7C62"/>
    <w:rsid w:val="00D00446"/>
    <w:rsid w:val="00D00794"/>
    <w:rsid w:val="00D012B7"/>
    <w:rsid w:val="00D01723"/>
    <w:rsid w:val="00D01867"/>
    <w:rsid w:val="00D01A29"/>
    <w:rsid w:val="00D01F10"/>
    <w:rsid w:val="00D0215A"/>
    <w:rsid w:val="00D02167"/>
    <w:rsid w:val="00D0216F"/>
    <w:rsid w:val="00D02366"/>
    <w:rsid w:val="00D0246D"/>
    <w:rsid w:val="00D028A2"/>
    <w:rsid w:val="00D02EA2"/>
    <w:rsid w:val="00D03462"/>
    <w:rsid w:val="00D0413E"/>
    <w:rsid w:val="00D044CE"/>
    <w:rsid w:val="00D047BE"/>
    <w:rsid w:val="00D0563A"/>
    <w:rsid w:val="00D05AE0"/>
    <w:rsid w:val="00D0601C"/>
    <w:rsid w:val="00D067DE"/>
    <w:rsid w:val="00D06E04"/>
    <w:rsid w:val="00D07112"/>
    <w:rsid w:val="00D07214"/>
    <w:rsid w:val="00D07318"/>
    <w:rsid w:val="00D075F5"/>
    <w:rsid w:val="00D07938"/>
    <w:rsid w:val="00D079E2"/>
    <w:rsid w:val="00D07A6F"/>
    <w:rsid w:val="00D07BB4"/>
    <w:rsid w:val="00D07CC1"/>
    <w:rsid w:val="00D07F14"/>
    <w:rsid w:val="00D10873"/>
    <w:rsid w:val="00D1140C"/>
    <w:rsid w:val="00D116A3"/>
    <w:rsid w:val="00D119E5"/>
    <w:rsid w:val="00D11B4D"/>
    <w:rsid w:val="00D11F90"/>
    <w:rsid w:val="00D1234C"/>
    <w:rsid w:val="00D1255C"/>
    <w:rsid w:val="00D12701"/>
    <w:rsid w:val="00D12AF3"/>
    <w:rsid w:val="00D130FB"/>
    <w:rsid w:val="00D132B2"/>
    <w:rsid w:val="00D133FA"/>
    <w:rsid w:val="00D138F7"/>
    <w:rsid w:val="00D13EDB"/>
    <w:rsid w:val="00D1439A"/>
    <w:rsid w:val="00D14F9D"/>
    <w:rsid w:val="00D152C7"/>
    <w:rsid w:val="00D154F5"/>
    <w:rsid w:val="00D15C52"/>
    <w:rsid w:val="00D1606E"/>
    <w:rsid w:val="00D165B4"/>
    <w:rsid w:val="00D16E6E"/>
    <w:rsid w:val="00D16FE6"/>
    <w:rsid w:val="00D1772B"/>
    <w:rsid w:val="00D20258"/>
    <w:rsid w:val="00D204D2"/>
    <w:rsid w:val="00D2097D"/>
    <w:rsid w:val="00D20DC6"/>
    <w:rsid w:val="00D20DEB"/>
    <w:rsid w:val="00D20E93"/>
    <w:rsid w:val="00D21038"/>
    <w:rsid w:val="00D214ED"/>
    <w:rsid w:val="00D2150F"/>
    <w:rsid w:val="00D215E6"/>
    <w:rsid w:val="00D21632"/>
    <w:rsid w:val="00D219A3"/>
    <w:rsid w:val="00D21C3B"/>
    <w:rsid w:val="00D2214E"/>
    <w:rsid w:val="00D23173"/>
    <w:rsid w:val="00D232F8"/>
    <w:rsid w:val="00D238C3"/>
    <w:rsid w:val="00D23C87"/>
    <w:rsid w:val="00D23F24"/>
    <w:rsid w:val="00D240F6"/>
    <w:rsid w:val="00D24271"/>
    <w:rsid w:val="00D25067"/>
    <w:rsid w:val="00D2525F"/>
    <w:rsid w:val="00D25626"/>
    <w:rsid w:val="00D257C2"/>
    <w:rsid w:val="00D257E9"/>
    <w:rsid w:val="00D25960"/>
    <w:rsid w:val="00D2599A"/>
    <w:rsid w:val="00D25A1B"/>
    <w:rsid w:val="00D26023"/>
    <w:rsid w:val="00D269F9"/>
    <w:rsid w:val="00D26E50"/>
    <w:rsid w:val="00D2716C"/>
    <w:rsid w:val="00D272E5"/>
    <w:rsid w:val="00D2754A"/>
    <w:rsid w:val="00D276DC"/>
    <w:rsid w:val="00D27C3E"/>
    <w:rsid w:val="00D30243"/>
    <w:rsid w:val="00D307B1"/>
    <w:rsid w:val="00D30EEC"/>
    <w:rsid w:val="00D31015"/>
    <w:rsid w:val="00D31959"/>
    <w:rsid w:val="00D31E62"/>
    <w:rsid w:val="00D3210C"/>
    <w:rsid w:val="00D3229E"/>
    <w:rsid w:val="00D32900"/>
    <w:rsid w:val="00D3291C"/>
    <w:rsid w:val="00D329CF"/>
    <w:rsid w:val="00D32AD2"/>
    <w:rsid w:val="00D32C9A"/>
    <w:rsid w:val="00D3351D"/>
    <w:rsid w:val="00D33D81"/>
    <w:rsid w:val="00D344BB"/>
    <w:rsid w:val="00D344BD"/>
    <w:rsid w:val="00D345E3"/>
    <w:rsid w:val="00D34717"/>
    <w:rsid w:val="00D347E0"/>
    <w:rsid w:val="00D34909"/>
    <w:rsid w:val="00D34A42"/>
    <w:rsid w:val="00D358A7"/>
    <w:rsid w:val="00D35FFF"/>
    <w:rsid w:val="00D3639F"/>
    <w:rsid w:val="00D36666"/>
    <w:rsid w:val="00D36814"/>
    <w:rsid w:val="00D36A89"/>
    <w:rsid w:val="00D378E2"/>
    <w:rsid w:val="00D37C96"/>
    <w:rsid w:val="00D37DE0"/>
    <w:rsid w:val="00D400C8"/>
    <w:rsid w:val="00D4046C"/>
    <w:rsid w:val="00D40668"/>
    <w:rsid w:val="00D406C5"/>
    <w:rsid w:val="00D40C2A"/>
    <w:rsid w:val="00D41260"/>
    <w:rsid w:val="00D4208C"/>
    <w:rsid w:val="00D420AB"/>
    <w:rsid w:val="00D428AD"/>
    <w:rsid w:val="00D42C17"/>
    <w:rsid w:val="00D43100"/>
    <w:rsid w:val="00D43322"/>
    <w:rsid w:val="00D4363D"/>
    <w:rsid w:val="00D437C0"/>
    <w:rsid w:val="00D4387A"/>
    <w:rsid w:val="00D438EC"/>
    <w:rsid w:val="00D43F9F"/>
    <w:rsid w:val="00D44114"/>
    <w:rsid w:val="00D447B6"/>
    <w:rsid w:val="00D44B6C"/>
    <w:rsid w:val="00D44D43"/>
    <w:rsid w:val="00D44E95"/>
    <w:rsid w:val="00D45DA1"/>
    <w:rsid w:val="00D45FEB"/>
    <w:rsid w:val="00D47110"/>
    <w:rsid w:val="00D47177"/>
    <w:rsid w:val="00D471F6"/>
    <w:rsid w:val="00D4728E"/>
    <w:rsid w:val="00D47706"/>
    <w:rsid w:val="00D4796D"/>
    <w:rsid w:val="00D507FF"/>
    <w:rsid w:val="00D50930"/>
    <w:rsid w:val="00D5094B"/>
    <w:rsid w:val="00D516E3"/>
    <w:rsid w:val="00D51756"/>
    <w:rsid w:val="00D51A2A"/>
    <w:rsid w:val="00D51A3A"/>
    <w:rsid w:val="00D51AE6"/>
    <w:rsid w:val="00D5208B"/>
    <w:rsid w:val="00D5231A"/>
    <w:rsid w:val="00D52849"/>
    <w:rsid w:val="00D52935"/>
    <w:rsid w:val="00D52B16"/>
    <w:rsid w:val="00D530CC"/>
    <w:rsid w:val="00D5317F"/>
    <w:rsid w:val="00D5350E"/>
    <w:rsid w:val="00D53FF5"/>
    <w:rsid w:val="00D54591"/>
    <w:rsid w:val="00D54A4C"/>
    <w:rsid w:val="00D54A94"/>
    <w:rsid w:val="00D55081"/>
    <w:rsid w:val="00D5569A"/>
    <w:rsid w:val="00D5675B"/>
    <w:rsid w:val="00D5687F"/>
    <w:rsid w:val="00D56B7F"/>
    <w:rsid w:val="00D56C63"/>
    <w:rsid w:val="00D57453"/>
    <w:rsid w:val="00D57B3C"/>
    <w:rsid w:val="00D57C43"/>
    <w:rsid w:val="00D57F66"/>
    <w:rsid w:val="00D5AD57"/>
    <w:rsid w:val="00D608A4"/>
    <w:rsid w:val="00D60BD2"/>
    <w:rsid w:val="00D60F69"/>
    <w:rsid w:val="00D6145A"/>
    <w:rsid w:val="00D616DC"/>
    <w:rsid w:val="00D6177C"/>
    <w:rsid w:val="00D619F3"/>
    <w:rsid w:val="00D61A56"/>
    <w:rsid w:val="00D61CAA"/>
    <w:rsid w:val="00D61D5E"/>
    <w:rsid w:val="00D61EE3"/>
    <w:rsid w:val="00D61FC2"/>
    <w:rsid w:val="00D6211C"/>
    <w:rsid w:val="00D62350"/>
    <w:rsid w:val="00D62426"/>
    <w:rsid w:val="00D6289C"/>
    <w:rsid w:val="00D62942"/>
    <w:rsid w:val="00D62B73"/>
    <w:rsid w:val="00D62BC1"/>
    <w:rsid w:val="00D62C0A"/>
    <w:rsid w:val="00D633B2"/>
    <w:rsid w:val="00D63DA0"/>
    <w:rsid w:val="00D63DAA"/>
    <w:rsid w:val="00D64F7C"/>
    <w:rsid w:val="00D65079"/>
    <w:rsid w:val="00D656D5"/>
    <w:rsid w:val="00D65E70"/>
    <w:rsid w:val="00D661BC"/>
    <w:rsid w:val="00D6620E"/>
    <w:rsid w:val="00D6647E"/>
    <w:rsid w:val="00D66937"/>
    <w:rsid w:val="00D669F8"/>
    <w:rsid w:val="00D66A9C"/>
    <w:rsid w:val="00D66C45"/>
    <w:rsid w:val="00D67F80"/>
    <w:rsid w:val="00D70253"/>
    <w:rsid w:val="00D70381"/>
    <w:rsid w:val="00D70843"/>
    <w:rsid w:val="00D70CA2"/>
    <w:rsid w:val="00D71B27"/>
    <w:rsid w:val="00D71B77"/>
    <w:rsid w:val="00D71C2C"/>
    <w:rsid w:val="00D71F8B"/>
    <w:rsid w:val="00D7204C"/>
    <w:rsid w:val="00D72403"/>
    <w:rsid w:val="00D724D4"/>
    <w:rsid w:val="00D72B80"/>
    <w:rsid w:val="00D730E7"/>
    <w:rsid w:val="00D7322B"/>
    <w:rsid w:val="00D734E6"/>
    <w:rsid w:val="00D73FBC"/>
    <w:rsid w:val="00D740ED"/>
    <w:rsid w:val="00D7439E"/>
    <w:rsid w:val="00D743A9"/>
    <w:rsid w:val="00D74428"/>
    <w:rsid w:val="00D74823"/>
    <w:rsid w:val="00D75AD2"/>
    <w:rsid w:val="00D75E96"/>
    <w:rsid w:val="00D760DF"/>
    <w:rsid w:val="00D76C88"/>
    <w:rsid w:val="00D77366"/>
    <w:rsid w:val="00D77704"/>
    <w:rsid w:val="00D777B6"/>
    <w:rsid w:val="00D7796A"/>
    <w:rsid w:val="00D77A4F"/>
    <w:rsid w:val="00D800C8"/>
    <w:rsid w:val="00D80109"/>
    <w:rsid w:val="00D80837"/>
    <w:rsid w:val="00D81356"/>
    <w:rsid w:val="00D81654"/>
    <w:rsid w:val="00D81952"/>
    <w:rsid w:val="00D81A15"/>
    <w:rsid w:val="00D81BD2"/>
    <w:rsid w:val="00D81CF9"/>
    <w:rsid w:val="00D82F55"/>
    <w:rsid w:val="00D8351A"/>
    <w:rsid w:val="00D83640"/>
    <w:rsid w:val="00D836BA"/>
    <w:rsid w:val="00D838A4"/>
    <w:rsid w:val="00D8395A"/>
    <w:rsid w:val="00D849BA"/>
    <w:rsid w:val="00D84D57"/>
    <w:rsid w:val="00D84E57"/>
    <w:rsid w:val="00D85582"/>
    <w:rsid w:val="00D85EFE"/>
    <w:rsid w:val="00D86121"/>
    <w:rsid w:val="00D86D7B"/>
    <w:rsid w:val="00D86DA5"/>
    <w:rsid w:val="00D86EA4"/>
    <w:rsid w:val="00D87282"/>
    <w:rsid w:val="00D877F5"/>
    <w:rsid w:val="00D879E4"/>
    <w:rsid w:val="00D87F3C"/>
    <w:rsid w:val="00D900B6"/>
    <w:rsid w:val="00D90492"/>
    <w:rsid w:val="00D906F8"/>
    <w:rsid w:val="00D90C8A"/>
    <w:rsid w:val="00D90EC6"/>
    <w:rsid w:val="00D90F5C"/>
    <w:rsid w:val="00D910BB"/>
    <w:rsid w:val="00D91281"/>
    <w:rsid w:val="00D9182F"/>
    <w:rsid w:val="00D9203E"/>
    <w:rsid w:val="00D923E2"/>
    <w:rsid w:val="00D92789"/>
    <w:rsid w:val="00D92AA8"/>
    <w:rsid w:val="00D93024"/>
    <w:rsid w:val="00D93252"/>
    <w:rsid w:val="00D93766"/>
    <w:rsid w:val="00D93794"/>
    <w:rsid w:val="00D938EF"/>
    <w:rsid w:val="00D9397E"/>
    <w:rsid w:val="00D93D17"/>
    <w:rsid w:val="00D940C5"/>
    <w:rsid w:val="00D94C64"/>
    <w:rsid w:val="00D9518D"/>
    <w:rsid w:val="00D953DC"/>
    <w:rsid w:val="00D95425"/>
    <w:rsid w:val="00D956AD"/>
    <w:rsid w:val="00D956CF"/>
    <w:rsid w:val="00D9593A"/>
    <w:rsid w:val="00D95CB9"/>
    <w:rsid w:val="00D95CC6"/>
    <w:rsid w:val="00D96274"/>
    <w:rsid w:val="00D966E1"/>
    <w:rsid w:val="00D966F7"/>
    <w:rsid w:val="00D96804"/>
    <w:rsid w:val="00D96A95"/>
    <w:rsid w:val="00D9715E"/>
    <w:rsid w:val="00D97916"/>
    <w:rsid w:val="00D97F11"/>
    <w:rsid w:val="00D97F61"/>
    <w:rsid w:val="00D97FE4"/>
    <w:rsid w:val="00DA08D0"/>
    <w:rsid w:val="00DA128C"/>
    <w:rsid w:val="00DA179D"/>
    <w:rsid w:val="00DA18F0"/>
    <w:rsid w:val="00DA21F1"/>
    <w:rsid w:val="00DA2E4D"/>
    <w:rsid w:val="00DA37EE"/>
    <w:rsid w:val="00DA38E2"/>
    <w:rsid w:val="00DA3BB5"/>
    <w:rsid w:val="00DA3DAC"/>
    <w:rsid w:val="00DA3FDD"/>
    <w:rsid w:val="00DA4CEB"/>
    <w:rsid w:val="00DA55B2"/>
    <w:rsid w:val="00DA5E97"/>
    <w:rsid w:val="00DA6682"/>
    <w:rsid w:val="00DA6962"/>
    <w:rsid w:val="00DA69A6"/>
    <w:rsid w:val="00DA6A28"/>
    <w:rsid w:val="00DA6A84"/>
    <w:rsid w:val="00DA716C"/>
    <w:rsid w:val="00DA7257"/>
    <w:rsid w:val="00DA7404"/>
    <w:rsid w:val="00DA7D36"/>
    <w:rsid w:val="00DA7E4E"/>
    <w:rsid w:val="00DB0313"/>
    <w:rsid w:val="00DB037A"/>
    <w:rsid w:val="00DB0C8D"/>
    <w:rsid w:val="00DB11A4"/>
    <w:rsid w:val="00DB17E2"/>
    <w:rsid w:val="00DB1DB4"/>
    <w:rsid w:val="00DB213E"/>
    <w:rsid w:val="00DB2179"/>
    <w:rsid w:val="00DB223A"/>
    <w:rsid w:val="00DB25B9"/>
    <w:rsid w:val="00DB2E68"/>
    <w:rsid w:val="00DB3282"/>
    <w:rsid w:val="00DB36EE"/>
    <w:rsid w:val="00DB3B9B"/>
    <w:rsid w:val="00DB3E11"/>
    <w:rsid w:val="00DB3E74"/>
    <w:rsid w:val="00DB4E6F"/>
    <w:rsid w:val="00DB4F02"/>
    <w:rsid w:val="00DB4F90"/>
    <w:rsid w:val="00DB5109"/>
    <w:rsid w:val="00DB5484"/>
    <w:rsid w:val="00DB5712"/>
    <w:rsid w:val="00DB6375"/>
    <w:rsid w:val="00DB6D62"/>
    <w:rsid w:val="00DB6E1D"/>
    <w:rsid w:val="00DB702E"/>
    <w:rsid w:val="00DB712B"/>
    <w:rsid w:val="00DB77E8"/>
    <w:rsid w:val="00DB7DAF"/>
    <w:rsid w:val="00DC03F2"/>
    <w:rsid w:val="00DC080B"/>
    <w:rsid w:val="00DC0B0C"/>
    <w:rsid w:val="00DC0B33"/>
    <w:rsid w:val="00DC155C"/>
    <w:rsid w:val="00DC1617"/>
    <w:rsid w:val="00DC16FF"/>
    <w:rsid w:val="00DC1857"/>
    <w:rsid w:val="00DC18D0"/>
    <w:rsid w:val="00DC1923"/>
    <w:rsid w:val="00DC1C14"/>
    <w:rsid w:val="00DC1ECE"/>
    <w:rsid w:val="00DC1FE6"/>
    <w:rsid w:val="00DC209B"/>
    <w:rsid w:val="00DC2221"/>
    <w:rsid w:val="00DC28BE"/>
    <w:rsid w:val="00DC2D25"/>
    <w:rsid w:val="00DC313D"/>
    <w:rsid w:val="00DC34F0"/>
    <w:rsid w:val="00DC3D30"/>
    <w:rsid w:val="00DC420F"/>
    <w:rsid w:val="00DC4495"/>
    <w:rsid w:val="00DC45B6"/>
    <w:rsid w:val="00DC4A6C"/>
    <w:rsid w:val="00DC4AFF"/>
    <w:rsid w:val="00DC4C7B"/>
    <w:rsid w:val="00DC521F"/>
    <w:rsid w:val="00DC55D0"/>
    <w:rsid w:val="00DC5A0A"/>
    <w:rsid w:val="00DC696A"/>
    <w:rsid w:val="00DC6FF9"/>
    <w:rsid w:val="00DC7064"/>
    <w:rsid w:val="00DC708C"/>
    <w:rsid w:val="00DC7DAD"/>
    <w:rsid w:val="00DD0014"/>
    <w:rsid w:val="00DD06FB"/>
    <w:rsid w:val="00DD0BE4"/>
    <w:rsid w:val="00DD1127"/>
    <w:rsid w:val="00DD15C1"/>
    <w:rsid w:val="00DD1626"/>
    <w:rsid w:val="00DD1FC9"/>
    <w:rsid w:val="00DD2506"/>
    <w:rsid w:val="00DD253B"/>
    <w:rsid w:val="00DD29EA"/>
    <w:rsid w:val="00DD2CAC"/>
    <w:rsid w:val="00DD2E30"/>
    <w:rsid w:val="00DD2E64"/>
    <w:rsid w:val="00DD3373"/>
    <w:rsid w:val="00DD3C04"/>
    <w:rsid w:val="00DD3E31"/>
    <w:rsid w:val="00DD3E4E"/>
    <w:rsid w:val="00DD4294"/>
    <w:rsid w:val="00DD43B1"/>
    <w:rsid w:val="00DD46B1"/>
    <w:rsid w:val="00DD470A"/>
    <w:rsid w:val="00DD4940"/>
    <w:rsid w:val="00DD51B0"/>
    <w:rsid w:val="00DD53D9"/>
    <w:rsid w:val="00DD5834"/>
    <w:rsid w:val="00DD5B62"/>
    <w:rsid w:val="00DD6232"/>
    <w:rsid w:val="00DD6C3B"/>
    <w:rsid w:val="00DD6C63"/>
    <w:rsid w:val="00DD7215"/>
    <w:rsid w:val="00DD73F8"/>
    <w:rsid w:val="00DD776C"/>
    <w:rsid w:val="00DD7A1C"/>
    <w:rsid w:val="00DD7EFB"/>
    <w:rsid w:val="00DDA745"/>
    <w:rsid w:val="00DDD081"/>
    <w:rsid w:val="00DE0128"/>
    <w:rsid w:val="00DE0277"/>
    <w:rsid w:val="00DE0732"/>
    <w:rsid w:val="00DE14CB"/>
    <w:rsid w:val="00DE156E"/>
    <w:rsid w:val="00DE1A69"/>
    <w:rsid w:val="00DE1ED3"/>
    <w:rsid w:val="00DE2BBA"/>
    <w:rsid w:val="00DE2DD4"/>
    <w:rsid w:val="00DE2EE3"/>
    <w:rsid w:val="00DE2F3E"/>
    <w:rsid w:val="00DE3219"/>
    <w:rsid w:val="00DE3AB1"/>
    <w:rsid w:val="00DE3EA3"/>
    <w:rsid w:val="00DE4139"/>
    <w:rsid w:val="00DE45FA"/>
    <w:rsid w:val="00DE4A9F"/>
    <w:rsid w:val="00DE4AF3"/>
    <w:rsid w:val="00DE5045"/>
    <w:rsid w:val="00DE5607"/>
    <w:rsid w:val="00DE5DC3"/>
    <w:rsid w:val="00DE5E53"/>
    <w:rsid w:val="00DE6234"/>
    <w:rsid w:val="00DE63DF"/>
    <w:rsid w:val="00DE63EB"/>
    <w:rsid w:val="00DE6E8A"/>
    <w:rsid w:val="00DE701C"/>
    <w:rsid w:val="00DE741F"/>
    <w:rsid w:val="00DE7447"/>
    <w:rsid w:val="00DE748F"/>
    <w:rsid w:val="00DF009A"/>
    <w:rsid w:val="00DF01CF"/>
    <w:rsid w:val="00DF03C7"/>
    <w:rsid w:val="00DF0A33"/>
    <w:rsid w:val="00DF11E3"/>
    <w:rsid w:val="00DF1519"/>
    <w:rsid w:val="00DF1690"/>
    <w:rsid w:val="00DF17CF"/>
    <w:rsid w:val="00DF1844"/>
    <w:rsid w:val="00DF18EB"/>
    <w:rsid w:val="00DF1AE8"/>
    <w:rsid w:val="00DF1FFB"/>
    <w:rsid w:val="00DF2001"/>
    <w:rsid w:val="00DF2C5E"/>
    <w:rsid w:val="00DF2EB6"/>
    <w:rsid w:val="00DF37F4"/>
    <w:rsid w:val="00DF4315"/>
    <w:rsid w:val="00DF4980"/>
    <w:rsid w:val="00DF4CC9"/>
    <w:rsid w:val="00DF5035"/>
    <w:rsid w:val="00DF5338"/>
    <w:rsid w:val="00DF5558"/>
    <w:rsid w:val="00DF5E28"/>
    <w:rsid w:val="00DF613E"/>
    <w:rsid w:val="00DF6808"/>
    <w:rsid w:val="00DF7048"/>
    <w:rsid w:val="00DF765D"/>
    <w:rsid w:val="00DF7938"/>
    <w:rsid w:val="00DF7A82"/>
    <w:rsid w:val="00DF7BCC"/>
    <w:rsid w:val="00E001F6"/>
    <w:rsid w:val="00E0165D"/>
    <w:rsid w:val="00E01B1A"/>
    <w:rsid w:val="00E01BA1"/>
    <w:rsid w:val="00E01DF4"/>
    <w:rsid w:val="00E02013"/>
    <w:rsid w:val="00E02275"/>
    <w:rsid w:val="00E02302"/>
    <w:rsid w:val="00E0253A"/>
    <w:rsid w:val="00E02A19"/>
    <w:rsid w:val="00E03736"/>
    <w:rsid w:val="00E03ADC"/>
    <w:rsid w:val="00E03DFC"/>
    <w:rsid w:val="00E04BD1"/>
    <w:rsid w:val="00E04D79"/>
    <w:rsid w:val="00E0567F"/>
    <w:rsid w:val="00E0571B"/>
    <w:rsid w:val="00E058A7"/>
    <w:rsid w:val="00E06EE4"/>
    <w:rsid w:val="00E06F43"/>
    <w:rsid w:val="00E07779"/>
    <w:rsid w:val="00E07A80"/>
    <w:rsid w:val="00E07B6F"/>
    <w:rsid w:val="00E07D05"/>
    <w:rsid w:val="00E10177"/>
    <w:rsid w:val="00E102ED"/>
    <w:rsid w:val="00E10445"/>
    <w:rsid w:val="00E10B2B"/>
    <w:rsid w:val="00E10F81"/>
    <w:rsid w:val="00E115E2"/>
    <w:rsid w:val="00E11A0C"/>
    <w:rsid w:val="00E11EDB"/>
    <w:rsid w:val="00E124D8"/>
    <w:rsid w:val="00E13698"/>
    <w:rsid w:val="00E13E9D"/>
    <w:rsid w:val="00E14078"/>
    <w:rsid w:val="00E1436C"/>
    <w:rsid w:val="00E143D0"/>
    <w:rsid w:val="00E145BD"/>
    <w:rsid w:val="00E14AB0"/>
    <w:rsid w:val="00E14C97"/>
    <w:rsid w:val="00E14F3E"/>
    <w:rsid w:val="00E14F4B"/>
    <w:rsid w:val="00E153D1"/>
    <w:rsid w:val="00E155B6"/>
    <w:rsid w:val="00E155F7"/>
    <w:rsid w:val="00E15CC8"/>
    <w:rsid w:val="00E15F16"/>
    <w:rsid w:val="00E16387"/>
    <w:rsid w:val="00E1649F"/>
    <w:rsid w:val="00E16EA3"/>
    <w:rsid w:val="00E16EF3"/>
    <w:rsid w:val="00E17419"/>
    <w:rsid w:val="00E176FC"/>
    <w:rsid w:val="00E17B7A"/>
    <w:rsid w:val="00E17CBD"/>
    <w:rsid w:val="00E17F61"/>
    <w:rsid w:val="00E17FD3"/>
    <w:rsid w:val="00E20251"/>
    <w:rsid w:val="00E206C8"/>
    <w:rsid w:val="00E209B6"/>
    <w:rsid w:val="00E20A28"/>
    <w:rsid w:val="00E20BBB"/>
    <w:rsid w:val="00E20E27"/>
    <w:rsid w:val="00E2121C"/>
    <w:rsid w:val="00E213C0"/>
    <w:rsid w:val="00E21451"/>
    <w:rsid w:val="00E21BDB"/>
    <w:rsid w:val="00E220E5"/>
    <w:rsid w:val="00E224D9"/>
    <w:rsid w:val="00E2320E"/>
    <w:rsid w:val="00E23522"/>
    <w:rsid w:val="00E23B9B"/>
    <w:rsid w:val="00E23BB9"/>
    <w:rsid w:val="00E24171"/>
    <w:rsid w:val="00E24260"/>
    <w:rsid w:val="00E24500"/>
    <w:rsid w:val="00E245DA"/>
    <w:rsid w:val="00E2466B"/>
    <w:rsid w:val="00E24C83"/>
    <w:rsid w:val="00E252E3"/>
    <w:rsid w:val="00E256E3"/>
    <w:rsid w:val="00E2570A"/>
    <w:rsid w:val="00E25AFB"/>
    <w:rsid w:val="00E25DDD"/>
    <w:rsid w:val="00E261E8"/>
    <w:rsid w:val="00E262D9"/>
    <w:rsid w:val="00E26639"/>
    <w:rsid w:val="00E26697"/>
    <w:rsid w:val="00E2710A"/>
    <w:rsid w:val="00E271B8"/>
    <w:rsid w:val="00E2763A"/>
    <w:rsid w:val="00E27ABD"/>
    <w:rsid w:val="00E27C2B"/>
    <w:rsid w:val="00E27C84"/>
    <w:rsid w:val="00E30406"/>
    <w:rsid w:val="00E30993"/>
    <w:rsid w:val="00E30A72"/>
    <w:rsid w:val="00E30E95"/>
    <w:rsid w:val="00E311C0"/>
    <w:rsid w:val="00E31C11"/>
    <w:rsid w:val="00E32A77"/>
    <w:rsid w:val="00E32AF8"/>
    <w:rsid w:val="00E32C27"/>
    <w:rsid w:val="00E33747"/>
    <w:rsid w:val="00E33D8A"/>
    <w:rsid w:val="00E3475D"/>
    <w:rsid w:val="00E347CB"/>
    <w:rsid w:val="00E34E16"/>
    <w:rsid w:val="00E35556"/>
    <w:rsid w:val="00E35F52"/>
    <w:rsid w:val="00E36124"/>
    <w:rsid w:val="00E3663A"/>
    <w:rsid w:val="00E368C5"/>
    <w:rsid w:val="00E37015"/>
    <w:rsid w:val="00E374C6"/>
    <w:rsid w:val="00E379DF"/>
    <w:rsid w:val="00E37E35"/>
    <w:rsid w:val="00E37F03"/>
    <w:rsid w:val="00E40248"/>
    <w:rsid w:val="00E406D0"/>
    <w:rsid w:val="00E40DEC"/>
    <w:rsid w:val="00E40E35"/>
    <w:rsid w:val="00E41315"/>
    <w:rsid w:val="00E41A83"/>
    <w:rsid w:val="00E41BA0"/>
    <w:rsid w:val="00E41D18"/>
    <w:rsid w:val="00E41F16"/>
    <w:rsid w:val="00E42010"/>
    <w:rsid w:val="00E42B4C"/>
    <w:rsid w:val="00E42F61"/>
    <w:rsid w:val="00E4355B"/>
    <w:rsid w:val="00E43CC7"/>
    <w:rsid w:val="00E43FB8"/>
    <w:rsid w:val="00E4466A"/>
    <w:rsid w:val="00E4488B"/>
    <w:rsid w:val="00E4521B"/>
    <w:rsid w:val="00E452CF"/>
    <w:rsid w:val="00E45300"/>
    <w:rsid w:val="00E45A53"/>
    <w:rsid w:val="00E465D5"/>
    <w:rsid w:val="00E46738"/>
    <w:rsid w:val="00E4677F"/>
    <w:rsid w:val="00E46AF1"/>
    <w:rsid w:val="00E46F0A"/>
    <w:rsid w:val="00E473FD"/>
    <w:rsid w:val="00E47403"/>
    <w:rsid w:val="00E478FB"/>
    <w:rsid w:val="00E47D88"/>
    <w:rsid w:val="00E50667"/>
    <w:rsid w:val="00E506BB"/>
    <w:rsid w:val="00E50878"/>
    <w:rsid w:val="00E50CE2"/>
    <w:rsid w:val="00E51016"/>
    <w:rsid w:val="00E51EDD"/>
    <w:rsid w:val="00E525B4"/>
    <w:rsid w:val="00E52972"/>
    <w:rsid w:val="00E5313F"/>
    <w:rsid w:val="00E53A28"/>
    <w:rsid w:val="00E54340"/>
    <w:rsid w:val="00E547B5"/>
    <w:rsid w:val="00E548BD"/>
    <w:rsid w:val="00E558B3"/>
    <w:rsid w:val="00E56013"/>
    <w:rsid w:val="00E560E1"/>
    <w:rsid w:val="00E56380"/>
    <w:rsid w:val="00E569E4"/>
    <w:rsid w:val="00E56B90"/>
    <w:rsid w:val="00E56B92"/>
    <w:rsid w:val="00E56EB5"/>
    <w:rsid w:val="00E577B1"/>
    <w:rsid w:val="00E5786D"/>
    <w:rsid w:val="00E578B1"/>
    <w:rsid w:val="00E579A4"/>
    <w:rsid w:val="00E605CE"/>
    <w:rsid w:val="00E60B01"/>
    <w:rsid w:val="00E60E6D"/>
    <w:rsid w:val="00E6109D"/>
    <w:rsid w:val="00E617E4"/>
    <w:rsid w:val="00E61CAD"/>
    <w:rsid w:val="00E61D61"/>
    <w:rsid w:val="00E61E4A"/>
    <w:rsid w:val="00E61F9E"/>
    <w:rsid w:val="00E62085"/>
    <w:rsid w:val="00E620D2"/>
    <w:rsid w:val="00E62177"/>
    <w:rsid w:val="00E62D10"/>
    <w:rsid w:val="00E62DB1"/>
    <w:rsid w:val="00E62DED"/>
    <w:rsid w:val="00E63627"/>
    <w:rsid w:val="00E6391C"/>
    <w:rsid w:val="00E63AD8"/>
    <w:rsid w:val="00E648CD"/>
    <w:rsid w:val="00E64CCA"/>
    <w:rsid w:val="00E655F8"/>
    <w:rsid w:val="00E6571C"/>
    <w:rsid w:val="00E65C66"/>
    <w:rsid w:val="00E65E6A"/>
    <w:rsid w:val="00E6655C"/>
    <w:rsid w:val="00E67532"/>
    <w:rsid w:val="00E67605"/>
    <w:rsid w:val="00E67811"/>
    <w:rsid w:val="00E67B74"/>
    <w:rsid w:val="00E67B84"/>
    <w:rsid w:val="00E67E8E"/>
    <w:rsid w:val="00E71136"/>
    <w:rsid w:val="00E712D5"/>
    <w:rsid w:val="00E7195F"/>
    <w:rsid w:val="00E720BF"/>
    <w:rsid w:val="00E728ED"/>
    <w:rsid w:val="00E72D43"/>
    <w:rsid w:val="00E7302F"/>
    <w:rsid w:val="00E738A7"/>
    <w:rsid w:val="00E73D58"/>
    <w:rsid w:val="00E74194"/>
    <w:rsid w:val="00E74389"/>
    <w:rsid w:val="00E74831"/>
    <w:rsid w:val="00E74E05"/>
    <w:rsid w:val="00E75180"/>
    <w:rsid w:val="00E753EB"/>
    <w:rsid w:val="00E75D15"/>
    <w:rsid w:val="00E7617A"/>
    <w:rsid w:val="00E763FF"/>
    <w:rsid w:val="00E7671D"/>
    <w:rsid w:val="00E770D9"/>
    <w:rsid w:val="00E77249"/>
    <w:rsid w:val="00E77F31"/>
    <w:rsid w:val="00E800AD"/>
    <w:rsid w:val="00E801DA"/>
    <w:rsid w:val="00E80259"/>
    <w:rsid w:val="00E804F5"/>
    <w:rsid w:val="00E80C67"/>
    <w:rsid w:val="00E80DFC"/>
    <w:rsid w:val="00E816B4"/>
    <w:rsid w:val="00E81973"/>
    <w:rsid w:val="00E81A98"/>
    <w:rsid w:val="00E81C34"/>
    <w:rsid w:val="00E81CA7"/>
    <w:rsid w:val="00E81EE2"/>
    <w:rsid w:val="00E828D1"/>
    <w:rsid w:val="00E82CB9"/>
    <w:rsid w:val="00E82E16"/>
    <w:rsid w:val="00E8308C"/>
    <w:rsid w:val="00E83104"/>
    <w:rsid w:val="00E83B6F"/>
    <w:rsid w:val="00E83B79"/>
    <w:rsid w:val="00E83DF2"/>
    <w:rsid w:val="00E83F49"/>
    <w:rsid w:val="00E84116"/>
    <w:rsid w:val="00E841BD"/>
    <w:rsid w:val="00E842CD"/>
    <w:rsid w:val="00E8454C"/>
    <w:rsid w:val="00E8585A"/>
    <w:rsid w:val="00E85BC4"/>
    <w:rsid w:val="00E8613E"/>
    <w:rsid w:val="00E8727B"/>
    <w:rsid w:val="00E87F56"/>
    <w:rsid w:val="00E907F5"/>
    <w:rsid w:val="00E90BB2"/>
    <w:rsid w:val="00E911BE"/>
    <w:rsid w:val="00E9150A"/>
    <w:rsid w:val="00E91A2B"/>
    <w:rsid w:val="00E923E5"/>
    <w:rsid w:val="00E92728"/>
    <w:rsid w:val="00E9284D"/>
    <w:rsid w:val="00E92AAD"/>
    <w:rsid w:val="00E92C74"/>
    <w:rsid w:val="00E938A6"/>
    <w:rsid w:val="00E938D8"/>
    <w:rsid w:val="00E93A68"/>
    <w:rsid w:val="00E93AE3"/>
    <w:rsid w:val="00E948AF"/>
    <w:rsid w:val="00E94F53"/>
    <w:rsid w:val="00E95569"/>
    <w:rsid w:val="00E95969"/>
    <w:rsid w:val="00E95C59"/>
    <w:rsid w:val="00E96315"/>
    <w:rsid w:val="00E9670D"/>
    <w:rsid w:val="00E9676C"/>
    <w:rsid w:val="00E9709B"/>
    <w:rsid w:val="00E972F8"/>
    <w:rsid w:val="00E977E1"/>
    <w:rsid w:val="00E97A32"/>
    <w:rsid w:val="00E97A81"/>
    <w:rsid w:val="00EA003A"/>
    <w:rsid w:val="00EA02DD"/>
    <w:rsid w:val="00EA05B7"/>
    <w:rsid w:val="00EA0E23"/>
    <w:rsid w:val="00EA0E62"/>
    <w:rsid w:val="00EA174D"/>
    <w:rsid w:val="00EA194C"/>
    <w:rsid w:val="00EA1CC5"/>
    <w:rsid w:val="00EA1F58"/>
    <w:rsid w:val="00EA2E3F"/>
    <w:rsid w:val="00EA3479"/>
    <w:rsid w:val="00EA3A2C"/>
    <w:rsid w:val="00EA3E74"/>
    <w:rsid w:val="00EA4187"/>
    <w:rsid w:val="00EA422E"/>
    <w:rsid w:val="00EA53CE"/>
    <w:rsid w:val="00EA5BB8"/>
    <w:rsid w:val="00EA5E75"/>
    <w:rsid w:val="00EA616F"/>
    <w:rsid w:val="00EA623F"/>
    <w:rsid w:val="00EA66B5"/>
    <w:rsid w:val="00EA6A91"/>
    <w:rsid w:val="00EA6D6E"/>
    <w:rsid w:val="00EA7106"/>
    <w:rsid w:val="00EA72C6"/>
    <w:rsid w:val="00EA75F5"/>
    <w:rsid w:val="00EA79FF"/>
    <w:rsid w:val="00EB039D"/>
    <w:rsid w:val="00EB06DD"/>
    <w:rsid w:val="00EB08C7"/>
    <w:rsid w:val="00EB08E6"/>
    <w:rsid w:val="00EB0996"/>
    <w:rsid w:val="00EB0DBC"/>
    <w:rsid w:val="00EB0F6B"/>
    <w:rsid w:val="00EB140A"/>
    <w:rsid w:val="00EB1A54"/>
    <w:rsid w:val="00EB2CF0"/>
    <w:rsid w:val="00EB2FED"/>
    <w:rsid w:val="00EB32AA"/>
    <w:rsid w:val="00EB33C5"/>
    <w:rsid w:val="00EB3565"/>
    <w:rsid w:val="00EB427F"/>
    <w:rsid w:val="00EB44A7"/>
    <w:rsid w:val="00EB4CF4"/>
    <w:rsid w:val="00EB56F1"/>
    <w:rsid w:val="00EB57DE"/>
    <w:rsid w:val="00EB5A48"/>
    <w:rsid w:val="00EB657A"/>
    <w:rsid w:val="00EB67A8"/>
    <w:rsid w:val="00EB6D79"/>
    <w:rsid w:val="00EB7625"/>
    <w:rsid w:val="00EB7809"/>
    <w:rsid w:val="00EB7FB3"/>
    <w:rsid w:val="00EC018A"/>
    <w:rsid w:val="00EC029D"/>
    <w:rsid w:val="00EC0DB3"/>
    <w:rsid w:val="00EC1400"/>
    <w:rsid w:val="00EC1506"/>
    <w:rsid w:val="00EC1513"/>
    <w:rsid w:val="00EC15F6"/>
    <w:rsid w:val="00EC170C"/>
    <w:rsid w:val="00EC17A1"/>
    <w:rsid w:val="00EC27F1"/>
    <w:rsid w:val="00EC2B10"/>
    <w:rsid w:val="00EC2ECE"/>
    <w:rsid w:val="00EC2F11"/>
    <w:rsid w:val="00EC2FAF"/>
    <w:rsid w:val="00EC2FC4"/>
    <w:rsid w:val="00EC3563"/>
    <w:rsid w:val="00EC391E"/>
    <w:rsid w:val="00EC3F4F"/>
    <w:rsid w:val="00EC3FDD"/>
    <w:rsid w:val="00EC4007"/>
    <w:rsid w:val="00EC43A7"/>
    <w:rsid w:val="00EC4895"/>
    <w:rsid w:val="00EC496E"/>
    <w:rsid w:val="00EC4B31"/>
    <w:rsid w:val="00EC5745"/>
    <w:rsid w:val="00EC57A3"/>
    <w:rsid w:val="00EC5B2A"/>
    <w:rsid w:val="00EC5CF9"/>
    <w:rsid w:val="00EC621B"/>
    <w:rsid w:val="00EC6DC7"/>
    <w:rsid w:val="00EC6EF3"/>
    <w:rsid w:val="00EC78B1"/>
    <w:rsid w:val="00EC7ACD"/>
    <w:rsid w:val="00EC7B78"/>
    <w:rsid w:val="00ED014C"/>
    <w:rsid w:val="00ED0612"/>
    <w:rsid w:val="00ED0717"/>
    <w:rsid w:val="00ED0D5B"/>
    <w:rsid w:val="00ED1643"/>
    <w:rsid w:val="00ED216A"/>
    <w:rsid w:val="00ED2517"/>
    <w:rsid w:val="00ED2EA0"/>
    <w:rsid w:val="00ED3204"/>
    <w:rsid w:val="00ED3262"/>
    <w:rsid w:val="00ED3359"/>
    <w:rsid w:val="00ED3B1B"/>
    <w:rsid w:val="00ED3E39"/>
    <w:rsid w:val="00ED3F74"/>
    <w:rsid w:val="00ED4280"/>
    <w:rsid w:val="00ED42BC"/>
    <w:rsid w:val="00ED4529"/>
    <w:rsid w:val="00ED49EB"/>
    <w:rsid w:val="00ED4BA8"/>
    <w:rsid w:val="00ED514A"/>
    <w:rsid w:val="00ED5429"/>
    <w:rsid w:val="00ED5629"/>
    <w:rsid w:val="00ED5DFA"/>
    <w:rsid w:val="00ED5EAD"/>
    <w:rsid w:val="00ED65BA"/>
    <w:rsid w:val="00ED6747"/>
    <w:rsid w:val="00ED67D8"/>
    <w:rsid w:val="00ED683C"/>
    <w:rsid w:val="00ED69E5"/>
    <w:rsid w:val="00ED6AD5"/>
    <w:rsid w:val="00ED6D90"/>
    <w:rsid w:val="00ED6E9A"/>
    <w:rsid w:val="00ED76E6"/>
    <w:rsid w:val="00ED77E6"/>
    <w:rsid w:val="00ED7AFC"/>
    <w:rsid w:val="00ED7D82"/>
    <w:rsid w:val="00EE0023"/>
    <w:rsid w:val="00EE041A"/>
    <w:rsid w:val="00EE07AE"/>
    <w:rsid w:val="00EE0AA0"/>
    <w:rsid w:val="00EE0AC2"/>
    <w:rsid w:val="00EE165C"/>
    <w:rsid w:val="00EE1717"/>
    <w:rsid w:val="00EE20EC"/>
    <w:rsid w:val="00EE2478"/>
    <w:rsid w:val="00EE26C6"/>
    <w:rsid w:val="00EE2CE3"/>
    <w:rsid w:val="00EE4262"/>
    <w:rsid w:val="00EE429F"/>
    <w:rsid w:val="00EE4384"/>
    <w:rsid w:val="00EE4C6F"/>
    <w:rsid w:val="00EE61EA"/>
    <w:rsid w:val="00EE6281"/>
    <w:rsid w:val="00EE6504"/>
    <w:rsid w:val="00EE6660"/>
    <w:rsid w:val="00EE68F4"/>
    <w:rsid w:val="00EE6FC6"/>
    <w:rsid w:val="00EE7123"/>
    <w:rsid w:val="00EE7533"/>
    <w:rsid w:val="00EE7601"/>
    <w:rsid w:val="00EE7A81"/>
    <w:rsid w:val="00EF00AD"/>
    <w:rsid w:val="00EF0402"/>
    <w:rsid w:val="00EF042A"/>
    <w:rsid w:val="00EF0566"/>
    <w:rsid w:val="00EF064A"/>
    <w:rsid w:val="00EF0AF3"/>
    <w:rsid w:val="00EF0B3C"/>
    <w:rsid w:val="00EF0C95"/>
    <w:rsid w:val="00EF10F8"/>
    <w:rsid w:val="00EF129B"/>
    <w:rsid w:val="00EF153B"/>
    <w:rsid w:val="00EF2412"/>
    <w:rsid w:val="00EF2C54"/>
    <w:rsid w:val="00EF3089"/>
    <w:rsid w:val="00EF3188"/>
    <w:rsid w:val="00EF3679"/>
    <w:rsid w:val="00EF3720"/>
    <w:rsid w:val="00EF3BD9"/>
    <w:rsid w:val="00EF3F25"/>
    <w:rsid w:val="00EF40FA"/>
    <w:rsid w:val="00EF44DE"/>
    <w:rsid w:val="00EF48EC"/>
    <w:rsid w:val="00EF4E4C"/>
    <w:rsid w:val="00EF58C2"/>
    <w:rsid w:val="00EF5C56"/>
    <w:rsid w:val="00EF5CF5"/>
    <w:rsid w:val="00EF5DAD"/>
    <w:rsid w:val="00EF5E85"/>
    <w:rsid w:val="00EF6B27"/>
    <w:rsid w:val="00EF6BE7"/>
    <w:rsid w:val="00EF7A5D"/>
    <w:rsid w:val="00EF7A8D"/>
    <w:rsid w:val="00EF7E5E"/>
    <w:rsid w:val="00EF7F22"/>
    <w:rsid w:val="00F000E0"/>
    <w:rsid w:val="00F00406"/>
    <w:rsid w:val="00F010AE"/>
    <w:rsid w:val="00F01337"/>
    <w:rsid w:val="00F0146B"/>
    <w:rsid w:val="00F01816"/>
    <w:rsid w:val="00F01C72"/>
    <w:rsid w:val="00F01CC6"/>
    <w:rsid w:val="00F0206C"/>
    <w:rsid w:val="00F02C70"/>
    <w:rsid w:val="00F02FE5"/>
    <w:rsid w:val="00F036E5"/>
    <w:rsid w:val="00F03B35"/>
    <w:rsid w:val="00F049D6"/>
    <w:rsid w:val="00F0537C"/>
    <w:rsid w:val="00F05968"/>
    <w:rsid w:val="00F05E84"/>
    <w:rsid w:val="00F05E9E"/>
    <w:rsid w:val="00F06024"/>
    <w:rsid w:val="00F060B3"/>
    <w:rsid w:val="00F064E4"/>
    <w:rsid w:val="00F0675A"/>
    <w:rsid w:val="00F069FE"/>
    <w:rsid w:val="00F06A88"/>
    <w:rsid w:val="00F06B32"/>
    <w:rsid w:val="00F06D14"/>
    <w:rsid w:val="00F06D7A"/>
    <w:rsid w:val="00F070FC"/>
    <w:rsid w:val="00F07129"/>
    <w:rsid w:val="00F0715E"/>
    <w:rsid w:val="00F07547"/>
    <w:rsid w:val="00F10555"/>
    <w:rsid w:val="00F107A0"/>
    <w:rsid w:val="00F11371"/>
    <w:rsid w:val="00F11508"/>
    <w:rsid w:val="00F119F3"/>
    <w:rsid w:val="00F11D69"/>
    <w:rsid w:val="00F11E88"/>
    <w:rsid w:val="00F12126"/>
    <w:rsid w:val="00F12AC3"/>
    <w:rsid w:val="00F13228"/>
    <w:rsid w:val="00F13432"/>
    <w:rsid w:val="00F136C3"/>
    <w:rsid w:val="00F13996"/>
    <w:rsid w:val="00F13F52"/>
    <w:rsid w:val="00F14E11"/>
    <w:rsid w:val="00F14E90"/>
    <w:rsid w:val="00F14FB6"/>
    <w:rsid w:val="00F15136"/>
    <w:rsid w:val="00F155E6"/>
    <w:rsid w:val="00F15699"/>
    <w:rsid w:val="00F157D6"/>
    <w:rsid w:val="00F158E1"/>
    <w:rsid w:val="00F15F8F"/>
    <w:rsid w:val="00F16303"/>
    <w:rsid w:val="00F1656B"/>
    <w:rsid w:val="00F1683D"/>
    <w:rsid w:val="00F16C40"/>
    <w:rsid w:val="00F16CF1"/>
    <w:rsid w:val="00F17151"/>
    <w:rsid w:val="00F17306"/>
    <w:rsid w:val="00F17739"/>
    <w:rsid w:val="00F2006E"/>
    <w:rsid w:val="00F20596"/>
    <w:rsid w:val="00F20AA8"/>
    <w:rsid w:val="00F20B5E"/>
    <w:rsid w:val="00F20DE0"/>
    <w:rsid w:val="00F2129B"/>
    <w:rsid w:val="00F21380"/>
    <w:rsid w:val="00F21571"/>
    <w:rsid w:val="00F2188C"/>
    <w:rsid w:val="00F21995"/>
    <w:rsid w:val="00F21A39"/>
    <w:rsid w:val="00F21AB5"/>
    <w:rsid w:val="00F21DB4"/>
    <w:rsid w:val="00F22CED"/>
    <w:rsid w:val="00F22DBE"/>
    <w:rsid w:val="00F23143"/>
    <w:rsid w:val="00F23F48"/>
    <w:rsid w:val="00F243D4"/>
    <w:rsid w:val="00F245D9"/>
    <w:rsid w:val="00F249FE"/>
    <w:rsid w:val="00F24DDF"/>
    <w:rsid w:val="00F24DEC"/>
    <w:rsid w:val="00F2524A"/>
    <w:rsid w:val="00F2536E"/>
    <w:rsid w:val="00F254A5"/>
    <w:rsid w:val="00F2572B"/>
    <w:rsid w:val="00F260F1"/>
    <w:rsid w:val="00F263B1"/>
    <w:rsid w:val="00F265E2"/>
    <w:rsid w:val="00F26949"/>
    <w:rsid w:val="00F26B4F"/>
    <w:rsid w:val="00F27255"/>
    <w:rsid w:val="00F2782B"/>
    <w:rsid w:val="00F27857"/>
    <w:rsid w:val="00F27BCB"/>
    <w:rsid w:val="00F27C69"/>
    <w:rsid w:val="00F27F08"/>
    <w:rsid w:val="00F27F56"/>
    <w:rsid w:val="00F305A0"/>
    <w:rsid w:val="00F3064C"/>
    <w:rsid w:val="00F30BB3"/>
    <w:rsid w:val="00F30ED1"/>
    <w:rsid w:val="00F31378"/>
    <w:rsid w:val="00F313BD"/>
    <w:rsid w:val="00F31ACD"/>
    <w:rsid w:val="00F32633"/>
    <w:rsid w:val="00F3320D"/>
    <w:rsid w:val="00F33A15"/>
    <w:rsid w:val="00F34701"/>
    <w:rsid w:val="00F34734"/>
    <w:rsid w:val="00F34863"/>
    <w:rsid w:val="00F34EEE"/>
    <w:rsid w:val="00F3528D"/>
    <w:rsid w:val="00F35315"/>
    <w:rsid w:val="00F3626A"/>
    <w:rsid w:val="00F36278"/>
    <w:rsid w:val="00F366A8"/>
    <w:rsid w:val="00F36904"/>
    <w:rsid w:val="00F36C41"/>
    <w:rsid w:val="00F36E2B"/>
    <w:rsid w:val="00F36E5C"/>
    <w:rsid w:val="00F36EC5"/>
    <w:rsid w:val="00F37583"/>
    <w:rsid w:val="00F37606"/>
    <w:rsid w:val="00F37B89"/>
    <w:rsid w:val="00F4017D"/>
    <w:rsid w:val="00F4020E"/>
    <w:rsid w:val="00F404C0"/>
    <w:rsid w:val="00F4053F"/>
    <w:rsid w:val="00F407BF"/>
    <w:rsid w:val="00F416EC"/>
    <w:rsid w:val="00F41FCE"/>
    <w:rsid w:val="00F4225C"/>
    <w:rsid w:val="00F42EEF"/>
    <w:rsid w:val="00F42FFE"/>
    <w:rsid w:val="00F432B6"/>
    <w:rsid w:val="00F434FA"/>
    <w:rsid w:val="00F4350D"/>
    <w:rsid w:val="00F438FC"/>
    <w:rsid w:val="00F43F3E"/>
    <w:rsid w:val="00F4448C"/>
    <w:rsid w:val="00F44A21"/>
    <w:rsid w:val="00F44B93"/>
    <w:rsid w:val="00F44F0A"/>
    <w:rsid w:val="00F45715"/>
    <w:rsid w:val="00F45BEC"/>
    <w:rsid w:val="00F462B9"/>
    <w:rsid w:val="00F4747B"/>
    <w:rsid w:val="00F476D3"/>
    <w:rsid w:val="00F47743"/>
    <w:rsid w:val="00F47D3C"/>
    <w:rsid w:val="00F50A8E"/>
    <w:rsid w:val="00F515AE"/>
    <w:rsid w:val="00F51AA8"/>
    <w:rsid w:val="00F51BFD"/>
    <w:rsid w:val="00F51C7E"/>
    <w:rsid w:val="00F52620"/>
    <w:rsid w:val="00F52B3D"/>
    <w:rsid w:val="00F53229"/>
    <w:rsid w:val="00F53632"/>
    <w:rsid w:val="00F536A8"/>
    <w:rsid w:val="00F53ECE"/>
    <w:rsid w:val="00F54039"/>
    <w:rsid w:val="00F54618"/>
    <w:rsid w:val="00F54CA6"/>
    <w:rsid w:val="00F55B47"/>
    <w:rsid w:val="00F56361"/>
    <w:rsid w:val="00F5652A"/>
    <w:rsid w:val="00F56AB2"/>
    <w:rsid w:val="00F56ED7"/>
    <w:rsid w:val="00F56EF3"/>
    <w:rsid w:val="00F57BF8"/>
    <w:rsid w:val="00F608C0"/>
    <w:rsid w:val="00F60A43"/>
    <w:rsid w:val="00F60F05"/>
    <w:rsid w:val="00F61C7E"/>
    <w:rsid w:val="00F61D85"/>
    <w:rsid w:val="00F61ED7"/>
    <w:rsid w:val="00F6260D"/>
    <w:rsid w:val="00F62876"/>
    <w:rsid w:val="00F63681"/>
    <w:rsid w:val="00F6393B"/>
    <w:rsid w:val="00F66029"/>
    <w:rsid w:val="00F6605E"/>
    <w:rsid w:val="00F662BE"/>
    <w:rsid w:val="00F66393"/>
    <w:rsid w:val="00F66907"/>
    <w:rsid w:val="00F66A10"/>
    <w:rsid w:val="00F66A99"/>
    <w:rsid w:val="00F67123"/>
    <w:rsid w:val="00F67128"/>
    <w:rsid w:val="00F6B1B0"/>
    <w:rsid w:val="00F70279"/>
    <w:rsid w:val="00F7038A"/>
    <w:rsid w:val="00F703E2"/>
    <w:rsid w:val="00F712F3"/>
    <w:rsid w:val="00F72228"/>
    <w:rsid w:val="00F723F8"/>
    <w:rsid w:val="00F72521"/>
    <w:rsid w:val="00F72601"/>
    <w:rsid w:val="00F72881"/>
    <w:rsid w:val="00F72A6A"/>
    <w:rsid w:val="00F7375A"/>
    <w:rsid w:val="00F73B73"/>
    <w:rsid w:val="00F745AF"/>
    <w:rsid w:val="00F749BF"/>
    <w:rsid w:val="00F74EBB"/>
    <w:rsid w:val="00F75332"/>
    <w:rsid w:val="00F75450"/>
    <w:rsid w:val="00F75459"/>
    <w:rsid w:val="00F754AD"/>
    <w:rsid w:val="00F756D3"/>
    <w:rsid w:val="00F75A8A"/>
    <w:rsid w:val="00F75DF2"/>
    <w:rsid w:val="00F7628E"/>
    <w:rsid w:val="00F76D5F"/>
    <w:rsid w:val="00F76DAC"/>
    <w:rsid w:val="00F7716A"/>
    <w:rsid w:val="00F77563"/>
    <w:rsid w:val="00F775CF"/>
    <w:rsid w:val="00F77902"/>
    <w:rsid w:val="00F77B4D"/>
    <w:rsid w:val="00F80180"/>
    <w:rsid w:val="00F80433"/>
    <w:rsid w:val="00F80516"/>
    <w:rsid w:val="00F80EB8"/>
    <w:rsid w:val="00F8126B"/>
    <w:rsid w:val="00F8142A"/>
    <w:rsid w:val="00F816EA"/>
    <w:rsid w:val="00F8193D"/>
    <w:rsid w:val="00F826D8"/>
    <w:rsid w:val="00F82B03"/>
    <w:rsid w:val="00F82C06"/>
    <w:rsid w:val="00F82CAD"/>
    <w:rsid w:val="00F836AF"/>
    <w:rsid w:val="00F838FE"/>
    <w:rsid w:val="00F83C17"/>
    <w:rsid w:val="00F83F36"/>
    <w:rsid w:val="00F83FA7"/>
    <w:rsid w:val="00F840DE"/>
    <w:rsid w:val="00F84171"/>
    <w:rsid w:val="00F843BF"/>
    <w:rsid w:val="00F849F8"/>
    <w:rsid w:val="00F84D7A"/>
    <w:rsid w:val="00F85916"/>
    <w:rsid w:val="00F85B00"/>
    <w:rsid w:val="00F867D7"/>
    <w:rsid w:val="00F87044"/>
    <w:rsid w:val="00F87045"/>
    <w:rsid w:val="00F87415"/>
    <w:rsid w:val="00F874C3"/>
    <w:rsid w:val="00F877B0"/>
    <w:rsid w:val="00F8792D"/>
    <w:rsid w:val="00F87CD2"/>
    <w:rsid w:val="00F87FB4"/>
    <w:rsid w:val="00F9005C"/>
    <w:rsid w:val="00F901EC"/>
    <w:rsid w:val="00F9073B"/>
    <w:rsid w:val="00F90A1D"/>
    <w:rsid w:val="00F90C85"/>
    <w:rsid w:val="00F90E26"/>
    <w:rsid w:val="00F91051"/>
    <w:rsid w:val="00F9134F"/>
    <w:rsid w:val="00F9141B"/>
    <w:rsid w:val="00F914E6"/>
    <w:rsid w:val="00F9155D"/>
    <w:rsid w:val="00F9180F"/>
    <w:rsid w:val="00F919CD"/>
    <w:rsid w:val="00F91C39"/>
    <w:rsid w:val="00F9200C"/>
    <w:rsid w:val="00F924AC"/>
    <w:rsid w:val="00F92759"/>
    <w:rsid w:val="00F92CEF"/>
    <w:rsid w:val="00F92DA7"/>
    <w:rsid w:val="00F9359C"/>
    <w:rsid w:val="00F9362C"/>
    <w:rsid w:val="00F93D86"/>
    <w:rsid w:val="00F93D96"/>
    <w:rsid w:val="00F93FF7"/>
    <w:rsid w:val="00F9449D"/>
    <w:rsid w:val="00F945FA"/>
    <w:rsid w:val="00F948F6"/>
    <w:rsid w:val="00F95E5A"/>
    <w:rsid w:val="00F96174"/>
    <w:rsid w:val="00F96566"/>
    <w:rsid w:val="00F96B81"/>
    <w:rsid w:val="00F96C43"/>
    <w:rsid w:val="00F96CD1"/>
    <w:rsid w:val="00F97015"/>
    <w:rsid w:val="00F97259"/>
    <w:rsid w:val="00F978D4"/>
    <w:rsid w:val="00F97C43"/>
    <w:rsid w:val="00FA0DBE"/>
    <w:rsid w:val="00FA233B"/>
    <w:rsid w:val="00FA2B94"/>
    <w:rsid w:val="00FA2C8F"/>
    <w:rsid w:val="00FA2CFF"/>
    <w:rsid w:val="00FA2EB4"/>
    <w:rsid w:val="00FA3257"/>
    <w:rsid w:val="00FA32E0"/>
    <w:rsid w:val="00FA344E"/>
    <w:rsid w:val="00FA4AA4"/>
    <w:rsid w:val="00FA4BE2"/>
    <w:rsid w:val="00FA4F1E"/>
    <w:rsid w:val="00FA5115"/>
    <w:rsid w:val="00FA52AC"/>
    <w:rsid w:val="00FA5812"/>
    <w:rsid w:val="00FA5B52"/>
    <w:rsid w:val="00FA5E6D"/>
    <w:rsid w:val="00FA5FAE"/>
    <w:rsid w:val="00FA6B7C"/>
    <w:rsid w:val="00FA6E01"/>
    <w:rsid w:val="00FA6F2E"/>
    <w:rsid w:val="00FA7044"/>
    <w:rsid w:val="00FA7104"/>
    <w:rsid w:val="00FA7B8C"/>
    <w:rsid w:val="00FB047D"/>
    <w:rsid w:val="00FB08F2"/>
    <w:rsid w:val="00FB1003"/>
    <w:rsid w:val="00FB1365"/>
    <w:rsid w:val="00FB1448"/>
    <w:rsid w:val="00FB159C"/>
    <w:rsid w:val="00FB1AA7"/>
    <w:rsid w:val="00FB21EB"/>
    <w:rsid w:val="00FB2513"/>
    <w:rsid w:val="00FB2B20"/>
    <w:rsid w:val="00FB2FD5"/>
    <w:rsid w:val="00FB35ED"/>
    <w:rsid w:val="00FB3677"/>
    <w:rsid w:val="00FB3777"/>
    <w:rsid w:val="00FB3813"/>
    <w:rsid w:val="00FB3885"/>
    <w:rsid w:val="00FB3B8A"/>
    <w:rsid w:val="00FB4039"/>
    <w:rsid w:val="00FB446E"/>
    <w:rsid w:val="00FB495F"/>
    <w:rsid w:val="00FB596C"/>
    <w:rsid w:val="00FB5DC5"/>
    <w:rsid w:val="00FB6124"/>
    <w:rsid w:val="00FB698E"/>
    <w:rsid w:val="00FB6CDF"/>
    <w:rsid w:val="00FB6ED4"/>
    <w:rsid w:val="00FB776D"/>
    <w:rsid w:val="00FB78D4"/>
    <w:rsid w:val="00FB79E7"/>
    <w:rsid w:val="00FB7E54"/>
    <w:rsid w:val="00FB7E8F"/>
    <w:rsid w:val="00FC014D"/>
    <w:rsid w:val="00FC01EA"/>
    <w:rsid w:val="00FC13A1"/>
    <w:rsid w:val="00FC1A21"/>
    <w:rsid w:val="00FC206A"/>
    <w:rsid w:val="00FC223F"/>
    <w:rsid w:val="00FC25BB"/>
    <w:rsid w:val="00FC2DC3"/>
    <w:rsid w:val="00FC341E"/>
    <w:rsid w:val="00FC3D27"/>
    <w:rsid w:val="00FC4EAB"/>
    <w:rsid w:val="00FC510C"/>
    <w:rsid w:val="00FC5297"/>
    <w:rsid w:val="00FC536F"/>
    <w:rsid w:val="00FC53CE"/>
    <w:rsid w:val="00FC5825"/>
    <w:rsid w:val="00FC589B"/>
    <w:rsid w:val="00FC5CB7"/>
    <w:rsid w:val="00FC61B0"/>
    <w:rsid w:val="00FC634C"/>
    <w:rsid w:val="00FC6849"/>
    <w:rsid w:val="00FC6CD3"/>
    <w:rsid w:val="00FC7053"/>
    <w:rsid w:val="00FC75FB"/>
    <w:rsid w:val="00FC76F7"/>
    <w:rsid w:val="00FC7790"/>
    <w:rsid w:val="00FC7A70"/>
    <w:rsid w:val="00FD028C"/>
    <w:rsid w:val="00FD0524"/>
    <w:rsid w:val="00FD08A6"/>
    <w:rsid w:val="00FD0D8D"/>
    <w:rsid w:val="00FD0F67"/>
    <w:rsid w:val="00FD0FB0"/>
    <w:rsid w:val="00FD156A"/>
    <w:rsid w:val="00FD18BE"/>
    <w:rsid w:val="00FD1B4C"/>
    <w:rsid w:val="00FD24FE"/>
    <w:rsid w:val="00FD2521"/>
    <w:rsid w:val="00FD2A58"/>
    <w:rsid w:val="00FD31A8"/>
    <w:rsid w:val="00FD3282"/>
    <w:rsid w:val="00FD37E0"/>
    <w:rsid w:val="00FD42BF"/>
    <w:rsid w:val="00FD4D91"/>
    <w:rsid w:val="00FD5044"/>
    <w:rsid w:val="00FD5092"/>
    <w:rsid w:val="00FD5250"/>
    <w:rsid w:val="00FD680A"/>
    <w:rsid w:val="00FD70D6"/>
    <w:rsid w:val="00FD7149"/>
    <w:rsid w:val="00FD71C9"/>
    <w:rsid w:val="00FD7CDC"/>
    <w:rsid w:val="00FD7FA3"/>
    <w:rsid w:val="00FE023C"/>
    <w:rsid w:val="00FE084B"/>
    <w:rsid w:val="00FE0C81"/>
    <w:rsid w:val="00FE0E4A"/>
    <w:rsid w:val="00FE1581"/>
    <w:rsid w:val="00FE165F"/>
    <w:rsid w:val="00FE21BE"/>
    <w:rsid w:val="00FE2933"/>
    <w:rsid w:val="00FE2DB9"/>
    <w:rsid w:val="00FE33BC"/>
    <w:rsid w:val="00FE41FF"/>
    <w:rsid w:val="00FE4235"/>
    <w:rsid w:val="00FE45C5"/>
    <w:rsid w:val="00FE466A"/>
    <w:rsid w:val="00FE4FA0"/>
    <w:rsid w:val="00FE51E1"/>
    <w:rsid w:val="00FE5496"/>
    <w:rsid w:val="00FE5C5C"/>
    <w:rsid w:val="00FE5D7F"/>
    <w:rsid w:val="00FE6D20"/>
    <w:rsid w:val="00FE6DAF"/>
    <w:rsid w:val="00FE7948"/>
    <w:rsid w:val="00FE7DDE"/>
    <w:rsid w:val="00FF041B"/>
    <w:rsid w:val="00FF045A"/>
    <w:rsid w:val="00FF09B4"/>
    <w:rsid w:val="00FF0A9B"/>
    <w:rsid w:val="00FF0C5C"/>
    <w:rsid w:val="00FF0E30"/>
    <w:rsid w:val="00FF1093"/>
    <w:rsid w:val="00FF2B16"/>
    <w:rsid w:val="00FF33E5"/>
    <w:rsid w:val="00FF387D"/>
    <w:rsid w:val="00FF3B19"/>
    <w:rsid w:val="00FF3EAF"/>
    <w:rsid w:val="00FF4128"/>
    <w:rsid w:val="00FF4C39"/>
    <w:rsid w:val="00FF523E"/>
    <w:rsid w:val="00FF54A4"/>
    <w:rsid w:val="00FF566F"/>
    <w:rsid w:val="00FF5B72"/>
    <w:rsid w:val="00FF6527"/>
    <w:rsid w:val="00FF6581"/>
    <w:rsid w:val="00FF6CDD"/>
    <w:rsid w:val="00FF6EFD"/>
    <w:rsid w:val="00FF715E"/>
    <w:rsid w:val="00FF7515"/>
    <w:rsid w:val="00FF7EB8"/>
    <w:rsid w:val="00FF7ED3"/>
    <w:rsid w:val="00FF7F44"/>
    <w:rsid w:val="0122DE27"/>
    <w:rsid w:val="012CE1D9"/>
    <w:rsid w:val="01310A00"/>
    <w:rsid w:val="014B5325"/>
    <w:rsid w:val="0156ECCB"/>
    <w:rsid w:val="015B523A"/>
    <w:rsid w:val="0169F219"/>
    <w:rsid w:val="0171AC10"/>
    <w:rsid w:val="01780626"/>
    <w:rsid w:val="017868B8"/>
    <w:rsid w:val="017B5322"/>
    <w:rsid w:val="017BC8A6"/>
    <w:rsid w:val="0185CC52"/>
    <w:rsid w:val="0187D24E"/>
    <w:rsid w:val="01AEA7A6"/>
    <w:rsid w:val="01B14FB3"/>
    <w:rsid w:val="01B6409D"/>
    <w:rsid w:val="01B6C158"/>
    <w:rsid w:val="01D81F2F"/>
    <w:rsid w:val="0201F88E"/>
    <w:rsid w:val="0207A6E8"/>
    <w:rsid w:val="020DE25C"/>
    <w:rsid w:val="02124AE9"/>
    <w:rsid w:val="02220BC4"/>
    <w:rsid w:val="022D3332"/>
    <w:rsid w:val="022E8ED3"/>
    <w:rsid w:val="024DC949"/>
    <w:rsid w:val="025561C6"/>
    <w:rsid w:val="025764A0"/>
    <w:rsid w:val="025B3314"/>
    <w:rsid w:val="02832D91"/>
    <w:rsid w:val="02A94E4F"/>
    <w:rsid w:val="02A9DA0D"/>
    <w:rsid w:val="02BA5456"/>
    <w:rsid w:val="02BAF79B"/>
    <w:rsid w:val="02D3E433"/>
    <w:rsid w:val="02DD234B"/>
    <w:rsid w:val="02F2BF52"/>
    <w:rsid w:val="02FB8DD8"/>
    <w:rsid w:val="03144665"/>
    <w:rsid w:val="03215357"/>
    <w:rsid w:val="03458439"/>
    <w:rsid w:val="03634E8C"/>
    <w:rsid w:val="03736CF1"/>
    <w:rsid w:val="03796CD1"/>
    <w:rsid w:val="037D218F"/>
    <w:rsid w:val="038296ED"/>
    <w:rsid w:val="03896975"/>
    <w:rsid w:val="03923C07"/>
    <w:rsid w:val="03B64464"/>
    <w:rsid w:val="03BDDC25"/>
    <w:rsid w:val="03C61F6B"/>
    <w:rsid w:val="03CAC286"/>
    <w:rsid w:val="03CDB156"/>
    <w:rsid w:val="03CFDBA4"/>
    <w:rsid w:val="03D0A66A"/>
    <w:rsid w:val="03DC63C0"/>
    <w:rsid w:val="03FC65B6"/>
    <w:rsid w:val="04058873"/>
    <w:rsid w:val="04077C59"/>
    <w:rsid w:val="0424474B"/>
    <w:rsid w:val="042A3921"/>
    <w:rsid w:val="043E879E"/>
    <w:rsid w:val="044290AE"/>
    <w:rsid w:val="044D17F1"/>
    <w:rsid w:val="0466DFEB"/>
    <w:rsid w:val="046EDBD4"/>
    <w:rsid w:val="0492E56C"/>
    <w:rsid w:val="04AED606"/>
    <w:rsid w:val="04B40A6B"/>
    <w:rsid w:val="04BC38AF"/>
    <w:rsid w:val="04C120F8"/>
    <w:rsid w:val="04C73213"/>
    <w:rsid w:val="05071ACF"/>
    <w:rsid w:val="0508F2A6"/>
    <w:rsid w:val="051B50C4"/>
    <w:rsid w:val="05564FC7"/>
    <w:rsid w:val="0574122C"/>
    <w:rsid w:val="05782F3A"/>
    <w:rsid w:val="057B2140"/>
    <w:rsid w:val="05893CE5"/>
    <w:rsid w:val="059A83E9"/>
    <w:rsid w:val="05A582B9"/>
    <w:rsid w:val="05A602FA"/>
    <w:rsid w:val="05C552F4"/>
    <w:rsid w:val="05C70BAF"/>
    <w:rsid w:val="05CB12E6"/>
    <w:rsid w:val="0604E018"/>
    <w:rsid w:val="060D7E80"/>
    <w:rsid w:val="063DF9F6"/>
    <w:rsid w:val="064F996A"/>
    <w:rsid w:val="0669D907"/>
    <w:rsid w:val="066FDEB5"/>
    <w:rsid w:val="06C38A02"/>
    <w:rsid w:val="06C45CC5"/>
    <w:rsid w:val="06C6F4B9"/>
    <w:rsid w:val="06CE6FB3"/>
    <w:rsid w:val="06E368BA"/>
    <w:rsid w:val="0706986C"/>
    <w:rsid w:val="070CF5B4"/>
    <w:rsid w:val="070F146A"/>
    <w:rsid w:val="071B6D3E"/>
    <w:rsid w:val="072E5321"/>
    <w:rsid w:val="07317C8B"/>
    <w:rsid w:val="0755207D"/>
    <w:rsid w:val="0766B34F"/>
    <w:rsid w:val="07735EAE"/>
    <w:rsid w:val="07842100"/>
    <w:rsid w:val="0790B1DC"/>
    <w:rsid w:val="07A319C5"/>
    <w:rsid w:val="07A7A57F"/>
    <w:rsid w:val="07A9E083"/>
    <w:rsid w:val="07CB5E60"/>
    <w:rsid w:val="07D6ADD1"/>
    <w:rsid w:val="07DF7C0F"/>
    <w:rsid w:val="07E2BE94"/>
    <w:rsid w:val="07E324FC"/>
    <w:rsid w:val="07ECC43D"/>
    <w:rsid w:val="07EF763E"/>
    <w:rsid w:val="07F49FA4"/>
    <w:rsid w:val="0803D442"/>
    <w:rsid w:val="0810EFC8"/>
    <w:rsid w:val="0832BA6E"/>
    <w:rsid w:val="083351E6"/>
    <w:rsid w:val="085DF79E"/>
    <w:rsid w:val="086AFF75"/>
    <w:rsid w:val="08875488"/>
    <w:rsid w:val="08B34B4B"/>
    <w:rsid w:val="08D1D21B"/>
    <w:rsid w:val="08D749F6"/>
    <w:rsid w:val="08DE3142"/>
    <w:rsid w:val="08F5D129"/>
    <w:rsid w:val="090AA334"/>
    <w:rsid w:val="090ABC6B"/>
    <w:rsid w:val="091853EA"/>
    <w:rsid w:val="092C139B"/>
    <w:rsid w:val="09474D15"/>
    <w:rsid w:val="0952234F"/>
    <w:rsid w:val="095E7751"/>
    <w:rsid w:val="0962AF71"/>
    <w:rsid w:val="097E8EF5"/>
    <w:rsid w:val="099148AF"/>
    <w:rsid w:val="099ABF63"/>
    <w:rsid w:val="09A37683"/>
    <w:rsid w:val="09B3E5E4"/>
    <w:rsid w:val="09B7634A"/>
    <w:rsid w:val="09D8B477"/>
    <w:rsid w:val="09E1488F"/>
    <w:rsid w:val="0A07993A"/>
    <w:rsid w:val="0A1ED974"/>
    <w:rsid w:val="0A427841"/>
    <w:rsid w:val="0A4DD98B"/>
    <w:rsid w:val="0A64F0F9"/>
    <w:rsid w:val="0A72C6D9"/>
    <w:rsid w:val="0AB49E2F"/>
    <w:rsid w:val="0AD0AF63"/>
    <w:rsid w:val="0AD53757"/>
    <w:rsid w:val="0AEA63E3"/>
    <w:rsid w:val="0B049C17"/>
    <w:rsid w:val="0B207BDC"/>
    <w:rsid w:val="0B4204BF"/>
    <w:rsid w:val="0B494331"/>
    <w:rsid w:val="0B5D1709"/>
    <w:rsid w:val="0B5E61E3"/>
    <w:rsid w:val="0B6791C4"/>
    <w:rsid w:val="0B71529B"/>
    <w:rsid w:val="0B801B1C"/>
    <w:rsid w:val="0B8D3B9E"/>
    <w:rsid w:val="0BAA075F"/>
    <w:rsid w:val="0BC6A4FE"/>
    <w:rsid w:val="0BC838F6"/>
    <w:rsid w:val="0BD88BB0"/>
    <w:rsid w:val="0BF69C3A"/>
    <w:rsid w:val="0BF9CD9D"/>
    <w:rsid w:val="0C041264"/>
    <w:rsid w:val="0C0A6E27"/>
    <w:rsid w:val="0C0CFAAF"/>
    <w:rsid w:val="0C11F3D2"/>
    <w:rsid w:val="0C198152"/>
    <w:rsid w:val="0C24FE30"/>
    <w:rsid w:val="0C351F0E"/>
    <w:rsid w:val="0C3A2472"/>
    <w:rsid w:val="0C465C7F"/>
    <w:rsid w:val="0C4EDB3C"/>
    <w:rsid w:val="0C8AE87D"/>
    <w:rsid w:val="0CB4C530"/>
    <w:rsid w:val="0CB62FB7"/>
    <w:rsid w:val="0CBED952"/>
    <w:rsid w:val="0CCA4301"/>
    <w:rsid w:val="0CEFCECA"/>
    <w:rsid w:val="0CF2495A"/>
    <w:rsid w:val="0CF546AC"/>
    <w:rsid w:val="0D2A6459"/>
    <w:rsid w:val="0D2B8E31"/>
    <w:rsid w:val="0D2E588D"/>
    <w:rsid w:val="0D2FDA33"/>
    <w:rsid w:val="0D36FC5D"/>
    <w:rsid w:val="0D53E1D8"/>
    <w:rsid w:val="0D583578"/>
    <w:rsid w:val="0D6DACF3"/>
    <w:rsid w:val="0D99BE37"/>
    <w:rsid w:val="0D9FEDD0"/>
    <w:rsid w:val="0DA1D80A"/>
    <w:rsid w:val="0DAC5A07"/>
    <w:rsid w:val="0DB4403B"/>
    <w:rsid w:val="0DBF8E93"/>
    <w:rsid w:val="0DD181A2"/>
    <w:rsid w:val="0DDFAD9C"/>
    <w:rsid w:val="0DF09484"/>
    <w:rsid w:val="0E1FAA7D"/>
    <w:rsid w:val="0E216D9E"/>
    <w:rsid w:val="0E3A5F3E"/>
    <w:rsid w:val="0E3E8D48"/>
    <w:rsid w:val="0E48252D"/>
    <w:rsid w:val="0E5AED97"/>
    <w:rsid w:val="0E6D5728"/>
    <w:rsid w:val="0E8A14AC"/>
    <w:rsid w:val="0EBBCD12"/>
    <w:rsid w:val="0ED358CB"/>
    <w:rsid w:val="0F0F65F3"/>
    <w:rsid w:val="0F120644"/>
    <w:rsid w:val="0F122C34"/>
    <w:rsid w:val="0F1762EB"/>
    <w:rsid w:val="0F35ADEF"/>
    <w:rsid w:val="0F570932"/>
    <w:rsid w:val="0F57795E"/>
    <w:rsid w:val="0F9738C9"/>
    <w:rsid w:val="0F9776AC"/>
    <w:rsid w:val="0FACC638"/>
    <w:rsid w:val="0FB3FE06"/>
    <w:rsid w:val="0FCFFD8C"/>
    <w:rsid w:val="0FDBD352"/>
    <w:rsid w:val="0FE8E14A"/>
    <w:rsid w:val="0FEBEA92"/>
    <w:rsid w:val="0FEC088A"/>
    <w:rsid w:val="0FEC493B"/>
    <w:rsid w:val="103783F7"/>
    <w:rsid w:val="103A9BCA"/>
    <w:rsid w:val="1042737D"/>
    <w:rsid w:val="1043E10D"/>
    <w:rsid w:val="104C3752"/>
    <w:rsid w:val="10526B27"/>
    <w:rsid w:val="106B7F02"/>
    <w:rsid w:val="106D0C55"/>
    <w:rsid w:val="1079E3BE"/>
    <w:rsid w:val="1079EABE"/>
    <w:rsid w:val="107E7A4B"/>
    <w:rsid w:val="108869BA"/>
    <w:rsid w:val="108F4477"/>
    <w:rsid w:val="10904DFD"/>
    <w:rsid w:val="1095FB6F"/>
    <w:rsid w:val="1099C4D0"/>
    <w:rsid w:val="10A4798D"/>
    <w:rsid w:val="10A66591"/>
    <w:rsid w:val="10B1380F"/>
    <w:rsid w:val="10B42CA6"/>
    <w:rsid w:val="10BD06BC"/>
    <w:rsid w:val="10BF67D0"/>
    <w:rsid w:val="10D60E65"/>
    <w:rsid w:val="10DA7C88"/>
    <w:rsid w:val="10DC0F16"/>
    <w:rsid w:val="10E37F8F"/>
    <w:rsid w:val="10E8964D"/>
    <w:rsid w:val="10EC9BB2"/>
    <w:rsid w:val="10EE2E4A"/>
    <w:rsid w:val="10F02014"/>
    <w:rsid w:val="10F3932C"/>
    <w:rsid w:val="10F4A55A"/>
    <w:rsid w:val="1112181C"/>
    <w:rsid w:val="1139674F"/>
    <w:rsid w:val="113E72A4"/>
    <w:rsid w:val="113EE935"/>
    <w:rsid w:val="114617CC"/>
    <w:rsid w:val="116E16F9"/>
    <w:rsid w:val="1178E415"/>
    <w:rsid w:val="117BC545"/>
    <w:rsid w:val="1188C232"/>
    <w:rsid w:val="1189686D"/>
    <w:rsid w:val="11940C8E"/>
    <w:rsid w:val="11A02111"/>
    <w:rsid w:val="11A17BC9"/>
    <w:rsid w:val="11A8958C"/>
    <w:rsid w:val="11C72E60"/>
    <w:rsid w:val="11D163B7"/>
    <w:rsid w:val="11E63E6B"/>
    <w:rsid w:val="11EBDEAC"/>
    <w:rsid w:val="11EFDEA0"/>
    <w:rsid w:val="11F00AE4"/>
    <w:rsid w:val="1208B166"/>
    <w:rsid w:val="120F2BA3"/>
    <w:rsid w:val="1215033C"/>
    <w:rsid w:val="124203C8"/>
    <w:rsid w:val="1242ADB3"/>
    <w:rsid w:val="126409CE"/>
    <w:rsid w:val="12664A76"/>
    <w:rsid w:val="127D2741"/>
    <w:rsid w:val="127D63CD"/>
    <w:rsid w:val="12878F5D"/>
    <w:rsid w:val="128FA74B"/>
    <w:rsid w:val="12993434"/>
    <w:rsid w:val="12995B24"/>
    <w:rsid w:val="1299B2DB"/>
    <w:rsid w:val="12D3BCD1"/>
    <w:rsid w:val="12DFD0E8"/>
    <w:rsid w:val="12E9506C"/>
    <w:rsid w:val="1317131A"/>
    <w:rsid w:val="131903D8"/>
    <w:rsid w:val="13272B17"/>
    <w:rsid w:val="13302232"/>
    <w:rsid w:val="13418518"/>
    <w:rsid w:val="1361A43B"/>
    <w:rsid w:val="136CC1D1"/>
    <w:rsid w:val="139366B4"/>
    <w:rsid w:val="13963ADB"/>
    <w:rsid w:val="13A93164"/>
    <w:rsid w:val="13AB3F21"/>
    <w:rsid w:val="13CF251E"/>
    <w:rsid w:val="13F19D96"/>
    <w:rsid w:val="13FD3967"/>
    <w:rsid w:val="1408D15C"/>
    <w:rsid w:val="141A302C"/>
    <w:rsid w:val="141C4643"/>
    <w:rsid w:val="141E27A5"/>
    <w:rsid w:val="142812E6"/>
    <w:rsid w:val="143B326C"/>
    <w:rsid w:val="146263D6"/>
    <w:rsid w:val="147B7AC8"/>
    <w:rsid w:val="1490A52B"/>
    <w:rsid w:val="14923544"/>
    <w:rsid w:val="14A1BEBD"/>
    <w:rsid w:val="14A5C697"/>
    <w:rsid w:val="14BCDFAE"/>
    <w:rsid w:val="14DECEBC"/>
    <w:rsid w:val="14E6ABE3"/>
    <w:rsid w:val="14F442CA"/>
    <w:rsid w:val="1519A75C"/>
    <w:rsid w:val="151A8768"/>
    <w:rsid w:val="151C8AB4"/>
    <w:rsid w:val="152631FB"/>
    <w:rsid w:val="152B4371"/>
    <w:rsid w:val="1534FDC9"/>
    <w:rsid w:val="154692DA"/>
    <w:rsid w:val="154B56DC"/>
    <w:rsid w:val="15518344"/>
    <w:rsid w:val="1569BCBF"/>
    <w:rsid w:val="156F4EEA"/>
    <w:rsid w:val="158B7139"/>
    <w:rsid w:val="15A30A7A"/>
    <w:rsid w:val="15AA0ED8"/>
    <w:rsid w:val="15BC7A5A"/>
    <w:rsid w:val="15C63E31"/>
    <w:rsid w:val="15CC3A69"/>
    <w:rsid w:val="15D094B7"/>
    <w:rsid w:val="15DF2B90"/>
    <w:rsid w:val="15EA3DF2"/>
    <w:rsid w:val="15EFC88D"/>
    <w:rsid w:val="15F0D96C"/>
    <w:rsid w:val="161C809B"/>
    <w:rsid w:val="16229DAF"/>
    <w:rsid w:val="162C53B8"/>
    <w:rsid w:val="16533AF0"/>
    <w:rsid w:val="16564F46"/>
    <w:rsid w:val="166E6605"/>
    <w:rsid w:val="1672DC36"/>
    <w:rsid w:val="16844F25"/>
    <w:rsid w:val="16879D79"/>
    <w:rsid w:val="16884D36"/>
    <w:rsid w:val="16AFF267"/>
    <w:rsid w:val="16FD490B"/>
    <w:rsid w:val="171C3B4D"/>
    <w:rsid w:val="1724C2D1"/>
    <w:rsid w:val="17286E19"/>
    <w:rsid w:val="172C5C93"/>
    <w:rsid w:val="17367CC6"/>
    <w:rsid w:val="173C1A8D"/>
    <w:rsid w:val="173FB46D"/>
    <w:rsid w:val="174F735F"/>
    <w:rsid w:val="17515637"/>
    <w:rsid w:val="1766DA20"/>
    <w:rsid w:val="176AD8FB"/>
    <w:rsid w:val="176D1B16"/>
    <w:rsid w:val="1774E9C8"/>
    <w:rsid w:val="1775126A"/>
    <w:rsid w:val="1780F2FF"/>
    <w:rsid w:val="179FB269"/>
    <w:rsid w:val="17ACF308"/>
    <w:rsid w:val="17B53D4A"/>
    <w:rsid w:val="17BF468E"/>
    <w:rsid w:val="17C467A8"/>
    <w:rsid w:val="17D168D8"/>
    <w:rsid w:val="17D3F70B"/>
    <w:rsid w:val="17D4A1B9"/>
    <w:rsid w:val="17E6521F"/>
    <w:rsid w:val="17EF4F86"/>
    <w:rsid w:val="17F0DA36"/>
    <w:rsid w:val="180579A5"/>
    <w:rsid w:val="180895F7"/>
    <w:rsid w:val="180DACCE"/>
    <w:rsid w:val="182376BA"/>
    <w:rsid w:val="1823B5A1"/>
    <w:rsid w:val="183A8F58"/>
    <w:rsid w:val="183BD03F"/>
    <w:rsid w:val="1843CC89"/>
    <w:rsid w:val="18508A38"/>
    <w:rsid w:val="1854DD98"/>
    <w:rsid w:val="1857B20A"/>
    <w:rsid w:val="1863DEDA"/>
    <w:rsid w:val="186887A6"/>
    <w:rsid w:val="188DE900"/>
    <w:rsid w:val="189F904A"/>
    <w:rsid w:val="18CBD61E"/>
    <w:rsid w:val="18D6C9B0"/>
    <w:rsid w:val="18DC8B28"/>
    <w:rsid w:val="18E832D0"/>
    <w:rsid w:val="18EDB606"/>
    <w:rsid w:val="1900F214"/>
    <w:rsid w:val="191AB345"/>
    <w:rsid w:val="191DD2D1"/>
    <w:rsid w:val="19272F01"/>
    <w:rsid w:val="19306E16"/>
    <w:rsid w:val="19338193"/>
    <w:rsid w:val="1940A35E"/>
    <w:rsid w:val="1946FD8D"/>
    <w:rsid w:val="194E4443"/>
    <w:rsid w:val="194E9DF6"/>
    <w:rsid w:val="1967DC7B"/>
    <w:rsid w:val="196C1256"/>
    <w:rsid w:val="1979B9EA"/>
    <w:rsid w:val="1986B369"/>
    <w:rsid w:val="1987CCA5"/>
    <w:rsid w:val="1991CA2D"/>
    <w:rsid w:val="199AFE7A"/>
    <w:rsid w:val="19A018A7"/>
    <w:rsid w:val="19BBEFE7"/>
    <w:rsid w:val="19BC530F"/>
    <w:rsid w:val="19D474F9"/>
    <w:rsid w:val="19DE185A"/>
    <w:rsid w:val="19EF5B70"/>
    <w:rsid w:val="19F9F60E"/>
    <w:rsid w:val="1A1C8DB0"/>
    <w:rsid w:val="1A2B437C"/>
    <w:rsid w:val="1A46784C"/>
    <w:rsid w:val="1A64C2E8"/>
    <w:rsid w:val="1A6F3251"/>
    <w:rsid w:val="1A8295B8"/>
    <w:rsid w:val="1A8733DF"/>
    <w:rsid w:val="1A8F22B1"/>
    <w:rsid w:val="1A9B99F9"/>
    <w:rsid w:val="1A9D6381"/>
    <w:rsid w:val="1AA51B16"/>
    <w:rsid w:val="1AA98AF8"/>
    <w:rsid w:val="1AAE3F21"/>
    <w:rsid w:val="1ABE7708"/>
    <w:rsid w:val="1AD34788"/>
    <w:rsid w:val="1ADDAC1F"/>
    <w:rsid w:val="1AF035AD"/>
    <w:rsid w:val="1AFD8908"/>
    <w:rsid w:val="1B0F3C65"/>
    <w:rsid w:val="1B217854"/>
    <w:rsid w:val="1B2E259C"/>
    <w:rsid w:val="1B31D613"/>
    <w:rsid w:val="1B3BFC7B"/>
    <w:rsid w:val="1B4119D1"/>
    <w:rsid w:val="1B619BCB"/>
    <w:rsid w:val="1B7D5594"/>
    <w:rsid w:val="1B800F65"/>
    <w:rsid w:val="1BC89093"/>
    <w:rsid w:val="1BD202D4"/>
    <w:rsid w:val="1BD7D998"/>
    <w:rsid w:val="1BE3CDAC"/>
    <w:rsid w:val="1BF1E776"/>
    <w:rsid w:val="1BF5D637"/>
    <w:rsid w:val="1C101507"/>
    <w:rsid w:val="1C1C52B1"/>
    <w:rsid w:val="1C2EF05F"/>
    <w:rsid w:val="1C30A20A"/>
    <w:rsid w:val="1C4395B5"/>
    <w:rsid w:val="1C620442"/>
    <w:rsid w:val="1C678505"/>
    <w:rsid w:val="1C69C73C"/>
    <w:rsid w:val="1C6E9686"/>
    <w:rsid w:val="1C712389"/>
    <w:rsid w:val="1C71BE8F"/>
    <w:rsid w:val="1C99FF64"/>
    <w:rsid w:val="1C9B11A9"/>
    <w:rsid w:val="1C9B15AE"/>
    <w:rsid w:val="1C9DD7F4"/>
    <w:rsid w:val="1C9FCD7D"/>
    <w:rsid w:val="1CBFB1DD"/>
    <w:rsid w:val="1CE1F0CE"/>
    <w:rsid w:val="1CF735E0"/>
    <w:rsid w:val="1CF94EEB"/>
    <w:rsid w:val="1CF9F9CD"/>
    <w:rsid w:val="1D0278F0"/>
    <w:rsid w:val="1D26B318"/>
    <w:rsid w:val="1D2AE530"/>
    <w:rsid w:val="1D4C7527"/>
    <w:rsid w:val="1D65AD88"/>
    <w:rsid w:val="1D7ABEB8"/>
    <w:rsid w:val="1D839B35"/>
    <w:rsid w:val="1D83AC9A"/>
    <w:rsid w:val="1D8803AD"/>
    <w:rsid w:val="1DA7B027"/>
    <w:rsid w:val="1DB5CFE3"/>
    <w:rsid w:val="1DBD5BE2"/>
    <w:rsid w:val="1DCC1A09"/>
    <w:rsid w:val="1DD394A2"/>
    <w:rsid w:val="1DD6AE0C"/>
    <w:rsid w:val="1DD6C44B"/>
    <w:rsid w:val="1DDC7CC2"/>
    <w:rsid w:val="1DF1F582"/>
    <w:rsid w:val="1DF6A6EF"/>
    <w:rsid w:val="1E09AEA6"/>
    <w:rsid w:val="1E0A7C03"/>
    <w:rsid w:val="1E210973"/>
    <w:rsid w:val="1E2DC22F"/>
    <w:rsid w:val="1E49812D"/>
    <w:rsid w:val="1E4F255E"/>
    <w:rsid w:val="1E564149"/>
    <w:rsid w:val="1E64562B"/>
    <w:rsid w:val="1E695F2B"/>
    <w:rsid w:val="1E8D196D"/>
    <w:rsid w:val="1EB837FA"/>
    <w:rsid w:val="1EBB7327"/>
    <w:rsid w:val="1EC3EFB4"/>
    <w:rsid w:val="1EE1DC28"/>
    <w:rsid w:val="1EF935C3"/>
    <w:rsid w:val="1EFC4F69"/>
    <w:rsid w:val="1F11AF34"/>
    <w:rsid w:val="1F203248"/>
    <w:rsid w:val="1F34EF63"/>
    <w:rsid w:val="1F39FC6B"/>
    <w:rsid w:val="1F4F57F5"/>
    <w:rsid w:val="1FA4BE07"/>
    <w:rsid w:val="1FC07FEB"/>
    <w:rsid w:val="1FC5BBBB"/>
    <w:rsid w:val="1FC6F128"/>
    <w:rsid w:val="1FC86504"/>
    <w:rsid w:val="1FCBC4CD"/>
    <w:rsid w:val="1FD13223"/>
    <w:rsid w:val="1FDEF9D3"/>
    <w:rsid w:val="1FE900F1"/>
    <w:rsid w:val="1FE976FC"/>
    <w:rsid w:val="1FFFAD73"/>
    <w:rsid w:val="1FFFE5E3"/>
    <w:rsid w:val="201BEE76"/>
    <w:rsid w:val="201F4D12"/>
    <w:rsid w:val="2046CEDA"/>
    <w:rsid w:val="2046E8F8"/>
    <w:rsid w:val="206FFE22"/>
    <w:rsid w:val="2080C382"/>
    <w:rsid w:val="20820634"/>
    <w:rsid w:val="20898ABA"/>
    <w:rsid w:val="209F5A18"/>
    <w:rsid w:val="20A5E08A"/>
    <w:rsid w:val="20AB976E"/>
    <w:rsid w:val="20ADABC4"/>
    <w:rsid w:val="20B35CBB"/>
    <w:rsid w:val="20B9D099"/>
    <w:rsid w:val="20C874A0"/>
    <w:rsid w:val="20D889E5"/>
    <w:rsid w:val="20E98D52"/>
    <w:rsid w:val="20ED02F4"/>
    <w:rsid w:val="20FB43C0"/>
    <w:rsid w:val="21031A6B"/>
    <w:rsid w:val="210819F1"/>
    <w:rsid w:val="21154C6B"/>
    <w:rsid w:val="21345CBE"/>
    <w:rsid w:val="21480B1A"/>
    <w:rsid w:val="215950F3"/>
    <w:rsid w:val="2163D7A4"/>
    <w:rsid w:val="2165B48E"/>
    <w:rsid w:val="21697DAB"/>
    <w:rsid w:val="216F430F"/>
    <w:rsid w:val="217A3223"/>
    <w:rsid w:val="217ACA34"/>
    <w:rsid w:val="2185AD59"/>
    <w:rsid w:val="2191FDD2"/>
    <w:rsid w:val="219D8423"/>
    <w:rsid w:val="219F1D0C"/>
    <w:rsid w:val="21B3EA5E"/>
    <w:rsid w:val="21B713AB"/>
    <w:rsid w:val="21C6B6D9"/>
    <w:rsid w:val="21D094A3"/>
    <w:rsid w:val="21FD5174"/>
    <w:rsid w:val="220059B6"/>
    <w:rsid w:val="2218274D"/>
    <w:rsid w:val="221ED222"/>
    <w:rsid w:val="222A5BD8"/>
    <w:rsid w:val="222AD55C"/>
    <w:rsid w:val="22323E92"/>
    <w:rsid w:val="22328E97"/>
    <w:rsid w:val="22497CFD"/>
    <w:rsid w:val="2265E564"/>
    <w:rsid w:val="226F9A6A"/>
    <w:rsid w:val="227C1799"/>
    <w:rsid w:val="227F1D8F"/>
    <w:rsid w:val="2280FF99"/>
    <w:rsid w:val="2287EE5E"/>
    <w:rsid w:val="229811AB"/>
    <w:rsid w:val="22B8CC25"/>
    <w:rsid w:val="22C2C368"/>
    <w:rsid w:val="22CC27E2"/>
    <w:rsid w:val="22CE37F5"/>
    <w:rsid w:val="22DB2EFF"/>
    <w:rsid w:val="22E6096E"/>
    <w:rsid w:val="22EFCEFE"/>
    <w:rsid w:val="22F1FFE5"/>
    <w:rsid w:val="22F26E90"/>
    <w:rsid w:val="22F3A0E8"/>
    <w:rsid w:val="230FC591"/>
    <w:rsid w:val="23194DDF"/>
    <w:rsid w:val="231B4AFD"/>
    <w:rsid w:val="2328746E"/>
    <w:rsid w:val="232FE5E8"/>
    <w:rsid w:val="2333BEA5"/>
    <w:rsid w:val="233C0C83"/>
    <w:rsid w:val="234B955B"/>
    <w:rsid w:val="2364C8AA"/>
    <w:rsid w:val="23689C65"/>
    <w:rsid w:val="2380FAD6"/>
    <w:rsid w:val="238ADE3E"/>
    <w:rsid w:val="238DA758"/>
    <w:rsid w:val="238EE44A"/>
    <w:rsid w:val="23915356"/>
    <w:rsid w:val="2399E733"/>
    <w:rsid w:val="23A42355"/>
    <w:rsid w:val="23B0225B"/>
    <w:rsid w:val="23BBC77D"/>
    <w:rsid w:val="23CA64BC"/>
    <w:rsid w:val="23CAB635"/>
    <w:rsid w:val="23E7847C"/>
    <w:rsid w:val="24076798"/>
    <w:rsid w:val="240C420A"/>
    <w:rsid w:val="240EC4E9"/>
    <w:rsid w:val="241CB0E1"/>
    <w:rsid w:val="2424A24F"/>
    <w:rsid w:val="2436CA9F"/>
    <w:rsid w:val="243D6CC3"/>
    <w:rsid w:val="24455ACF"/>
    <w:rsid w:val="244D60F5"/>
    <w:rsid w:val="245435E5"/>
    <w:rsid w:val="245B6A14"/>
    <w:rsid w:val="2471ECEA"/>
    <w:rsid w:val="248F00A2"/>
    <w:rsid w:val="248F1413"/>
    <w:rsid w:val="2499742F"/>
    <w:rsid w:val="24A71CB6"/>
    <w:rsid w:val="24C9B664"/>
    <w:rsid w:val="24D4395A"/>
    <w:rsid w:val="24D8CF8E"/>
    <w:rsid w:val="24D9518B"/>
    <w:rsid w:val="24E2CBD6"/>
    <w:rsid w:val="24E2F7A9"/>
    <w:rsid w:val="24E61668"/>
    <w:rsid w:val="24F9E010"/>
    <w:rsid w:val="24FB039A"/>
    <w:rsid w:val="2525A103"/>
    <w:rsid w:val="2550EE14"/>
    <w:rsid w:val="255FE9E5"/>
    <w:rsid w:val="25661A62"/>
    <w:rsid w:val="256A25E1"/>
    <w:rsid w:val="25781E65"/>
    <w:rsid w:val="257B377E"/>
    <w:rsid w:val="25978D56"/>
    <w:rsid w:val="25A3724E"/>
    <w:rsid w:val="25A5E3F0"/>
    <w:rsid w:val="25E34C42"/>
    <w:rsid w:val="2607E561"/>
    <w:rsid w:val="2619E330"/>
    <w:rsid w:val="261BBAC0"/>
    <w:rsid w:val="261CECEF"/>
    <w:rsid w:val="261DD85E"/>
    <w:rsid w:val="2622BE77"/>
    <w:rsid w:val="262A8720"/>
    <w:rsid w:val="26358F66"/>
    <w:rsid w:val="263953B8"/>
    <w:rsid w:val="263AE8CB"/>
    <w:rsid w:val="2645A5A2"/>
    <w:rsid w:val="26641B63"/>
    <w:rsid w:val="26644031"/>
    <w:rsid w:val="2666404F"/>
    <w:rsid w:val="266A82C9"/>
    <w:rsid w:val="267C628C"/>
    <w:rsid w:val="267D76EA"/>
    <w:rsid w:val="26881A70"/>
    <w:rsid w:val="2699EA82"/>
    <w:rsid w:val="26A3F1EF"/>
    <w:rsid w:val="26A93141"/>
    <w:rsid w:val="26B7315D"/>
    <w:rsid w:val="26D353A5"/>
    <w:rsid w:val="26D65C5C"/>
    <w:rsid w:val="26E0107F"/>
    <w:rsid w:val="271328AE"/>
    <w:rsid w:val="27169CC3"/>
    <w:rsid w:val="272295FA"/>
    <w:rsid w:val="27280BF3"/>
    <w:rsid w:val="27354FC5"/>
    <w:rsid w:val="273D2F3B"/>
    <w:rsid w:val="273E68B7"/>
    <w:rsid w:val="273E6A86"/>
    <w:rsid w:val="273F0FF3"/>
    <w:rsid w:val="2741FF90"/>
    <w:rsid w:val="27513D33"/>
    <w:rsid w:val="27579E7A"/>
    <w:rsid w:val="2765840E"/>
    <w:rsid w:val="27832EC3"/>
    <w:rsid w:val="278D6F73"/>
    <w:rsid w:val="2798AA7B"/>
    <w:rsid w:val="27BAEAD1"/>
    <w:rsid w:val="27BBF36D"/>
    <w:rsid w:val="27DCA037"/>
    <w:rsid w:val="27F25D4C"/>
    <w:rsid w:val="27FC96F1"/>
    <w:rsid w:val="280118AB"/>
    <w:rsid w:val="280A49FE"/>
    <w:rsid w:val="280D86E0"/>
    <w:rsid w:val="281B737E"/>
    <w:rsid w:val="2833E59C"/>
    <w:rsid w:val="28358E42"/>
    <w:rsid w:val="2858CE07"/>
    <w:rsid w:val="286F082B"/>
    <w:rsid w:val="28791921"/>
    <w:rsid w:val="2881F879"/>
    <w:rsid w:val="28896D16"/>
    <w:rsid w:val="289BCF39"/>
    <w:rsid w:val="289F3005"/>
    <w:rsid w:val="28A25A46"/>
    <w:rsid w:val="28A7EAD3"/>
    <w:rsid w:val="28CD211E"/>
    <w:rsid w:val="28F6B461"/>
    <w:rsid w:val="29012FE8"/>
    <w:rsid w:val="290C2282"/>
    <w:rsid w:val="291726AE"/>
    <w:rsid w:val="2928AAA6"/>
    <w:rsid w:val="293E4926"/>
    <w:rsid w:val="2987AFFD"/>
    <w:rsid w:val="2987EAF4"/>
    <w:rsid w:val="2993A88D"/>
    <w:rsid w:val="299CC5EF"/>
    <w:rsid w:val="29B8C6F3"/>
    <w:rsid w:val="29CC10C3"/>
    <w:rsid w:val="29D83A1A"/>
    <w:rsid w:val="29D9546C"/>
    <w:rsid w:val="29E533EA"/>
    <w:rsid w:val="29EA4631"/>
    <w:rsid w:val="29FFAEC7"/>
    <w:rsid w:val="2A05B853"/>
    <w:rsid w:val="2A1C9263"/>
    <w:rsid w:val="2A3C2FE1"/>
    <w:rsid w:val="2A3C8DB4"/>
    <w:rsid w:val="2A497266"/>
    <w:rsid w:val="2A502AB5"/>
    <w:rsid w:val="2A5DD0CE"/>
    <w:rsid w:val="2A78B0BA"/>
    <w:rsid w:val="2A7DD64B"/>
    <w:rsid w:val="2A85884A"/>
    <w:rsid w:val="2AAC2771"/>
    <w:rsid w:val="2ABD67FE"/>
    <w:rsid w:val="2AC96242"/>
    <w:rsid w:val="2AF10E04"/>
    <w:rsid w:val="2B0457DB"/>
    <w:rsid w:val="2B110234"/>
    <w:rsid w:val="2B184986"/>
    <w:rsid w:val="2B1931D6"/>
    <w:rsid w:val="2B415393"/>
    <w:rsid w:val="2B43C919"/>
    <w:rsid w:val="2B4E1250"/>
    <w:rsid w:val="2B670A91"/>
    <w:rsid w:val="2B6BA2ED"/>
    <w:rsid w:val="2B6D6C27"/>
    <w:rsid w:val="2B737671"/>
    <w:rsid w:val="2B7914B3"/>
    <w:rsid w:val="2B898A9B"/>
    <w:rsid w:val="2B8C7D8C"/>
    <w:rsid w:val="2B906EC9"/>
    <w:rsid w:val="2B9072BE"/>
    <w:rsid w:val="2B910FFA"/>
    <w:rsid w:val="2B968277"/>
    <w:rsid w:val="2BA08892"/>
    <w:rsid w:val="2BBAE292"/>
    <w:rsid w:val="2BBF00A8"/>
    <w:rsid w:val="2BC0EF9E"/>
    <w:rsid w:val="2BD7A43A"/>
    <w:rsid w:val="2BDE7D94"/>
    <w:rsid w:val="2BFA32A7"/>
    <w:rsid w:val="2C065F4D"/>
    <w:rsid w:val="2C1DC6F6"/>
    <w:rsid w:val="2C209FA4"/>
    <w:rsid w:val="2C3073B6"/>
    <w:rsid w:val="2C386B09"/>
    <w:rsid w:val="2C4BF4E0"/>
    <w:rsid w:val="2C534A1D"/>
    <w:rsid w:val="2C66D4E3"/>
    <w:rsid w:val="2C749E96"/>
    <w:rsid w:val="2C790599"/>
    <w:rsid w:val="2C794502"/>
    <w:rsid w:val="2C8B4E2D"/>
    <w:rsid w:val="2C8D9EF3"/>
    <w:rsid w:val="2C970431"/>
    <w:rsid w:val="2CB155DF"/>
    <w:rsid w:val="2CB8D60D"/>
    <w:rsid w:val="2CD09BDF"/>
    <w:rsid w:val="2CD7A805"/>
    <w:rsid w:val="2CE87054"/>
    <w:rsid w:val="2CFEEA3A"/>
    <w:rsid w:val="2D4E28A7"/>
    <w:rsid w:val="2D640AEC"/>
    <w:rsid w:val="2D9487C2"/>
    <w:rsid w:val="2D9AD500"/>
    <w:rsid w:val="2DAB191A"/>
    <w:rsid w:val="2DACED4A"/>
    <w:rsid w:val="2DB0C99C"/>
    <w:rsid w:val="2DC1C20E"/>
    <w:rsid w:val="2DDD679A"/>
    <w:rsid w:val="2DDD7C78"/>
    <w:rsid w:val="2DDDE715"/>
    <w:rsid w:val="2DEF3D86"/>
    <w:rsid w:val="2E0DC94F"/>
    <w:rsid w:val="2E1EED57"/>
    <w:rsid w:val="2E275210"/>
    <w:rsid w:val="2E2A8C2A"/>
    <w:rsid w:val="2E2EA3AA"/>
    <w:rsid w:val="2E301FEF"/>
    <w:rsid w:val="2E3AA460"/>
    <w:rsid w:val="2E45302D"/>
    <w:rsid w:val="2E460AD3"/>
    <w:rsid w:val="2E4F2608"/>
    <w:rsid w:val="2E751EF8"/>
    <w:rsid w:val="2E7677BE"/>
    <w:rsid w:val="2E7F6C21"/>
    <w:rsid w:val="2E820C3E"/>
    <w:rsid w:val="2E83CB11"/>
    <w:rsid w:val="2E857C15"/>
    <w:rsid w:val="2E858D9A"/>
    <w:rsid w:val="2E9BCC08"/>
    <w:rsid w:val="2E9F9A49"/>
    <w:rsid w:val="2EA118BB"/>
    <w:rsid w:val="2EF83B07"/>
    <w:rsid w:val="2EFCEAEA"/>
    <w:rsid w:val="2EFF8ECC"/>
    <w:rsid w:val="2F086E29"/>
    <w:rsid w:val="2F1E3280"/>
    <w:rsid w:val="2F239932"/>
    <w:rsid w:val="2F2CE814"/>
    <w:rsid w:val="2F2D7806"/>
    <w:rsid w:val="2F377A3F"/>
    <w:rsid w:val="2F3FAD4A"/>
    <w:rsid w:val="2F489E63"/>
    <w:rsid w:val="2F59F98B"/>
    <w:rsid w:val="2F609DBD"/>
    <w:rsid w:val="2F64D8C2"/>
    <w:rsid w:val="2F8725F5"/>
    <w:rsid w:val="2F97D921"/>
    <w:rsid w:val="2FA3C7E2"/>
    <w:rsid w:val="2FAEF827"/>
    <w:rsid w:val="2FC9146A"/>
    <w:rsid w:val="2FCA13BC"/>
    <w:rsid w:val="2FDEEC29"/>
    <w:rsid w:val="2FE92AD5"/>
    <w:rsid w:val="2FEB87BA"/>
    <w:rsid w:val="2FEE0C12"/>
    <w:rsid w:val="2FEFE5B6"/>
    <w:rsid w:val="2FF62B6E"/>
    <w:rsid w:val="302A02C0"/>
    <w:rsid w:val="30347659"/>
    <w:rsid w:val="306C035B"/>
    <w:rsid w:val="308057C1"/>
    <w:rsid w:val="30858A9E"/>
    <w:rsid w:val="308E9D56"/>
    <w:rsid w:val="3090CC47"/>
    <w:rsid w:val="3094DB68"/>
    <w:rsid w:val="30BFA21E"/>
    <w:rsid w:val="30C4ECD7"/>
    <w:rsid w:val="30E1A6CC"/>
    <w:rsid w:val="30E6CAAE"/>
    <w:rsid w:val="30EE1D6D"/>
    <w:rsid w:val="30F8804A"/>
    <w:rsid w:val="30FFB46C"/>
    <w:rsid w:val="3100C4FB"/>
    <w:rsid w:val="31023522"/>
    <w:rsid w:val="3113CA36"/>
    <w:rsid w:val="31273617"/>
    <w:rsid w:val="312AAE60"/>
    <w:rsid w:val="31444A77"/>
    <w:rsid w:val="3145C6EB"/>
    <w:rsid w:val="3147FFEE"/>
    <w:rsid w:val="315A460E"/>
    <w:rsid w:val="3161B269"/>
    <w:rsid w:val="3163439F"/>
    <w:rsid w:val="3164AA8B"/>
    <w:rsid w:val="319C1077"/>
    <w:rsid w:val="31A2BFF1"/>
    <w:rsid w:val="31AF9799"/>
    <w:rsid w:val="31D6062D"/>
    <w:rsid w:val="31DD92B4"/>
    <w:rsid w:val="320982D4"/>
    <w:rsid w:val="320BDE21"/>
    <w:rsid w:val="320F5E64"/>
    <w:rsid w:val="320F7EC3"/>
    <w:rsid w:val="3211D8D1"/>
    <w:rsid w:val="32122E69"/>
    <w:rsid w:val="324203DF"/>
    <w:rsid w:val="324346EB"/>
    <w:rsid w:val="32473841"/>
    <w:rsid w:val="325CEDF9"/>
    <w:rsid w:val="325FAF2A"/>
    <w:rsid w:val="326A90DF"/>
    <w:rsid w:val="3273D1F6"/>
    <w:rsid w:val="3297044A"/>
    <w:rsid w:val="32B108A8"/>
    <w:rsid w:val="32CA1CC3"/>
    <w:rsid w:val="32D2CD92"/>
    <w:rsid w:val="32D8F7F5"/>
    <w:rsid w:val="32DB7001"/>
    <w:rsid w:val="32E5FF85"/>
    <w:rsid w:val="32F10143"/>
    <w:rsid w:val="32F1A601"/>
    <w:rsid w:val="32F662D2"/>
    <w:rsid w:val="331AB73C"/>
    <w:rsid w:val="331ADA5E"/>
    <w:rsid w:val="332E15A7"/>
    <w:rsid w:val="33338C83"/>
    <w:rsid w:val="33439048"/>
    <w:rsid w:val="33577F20"/>
    <w:rsid w:val="336235E6"/>
    <w:rsid w:val="337A6C8C"/>
    <w:rsid w:val="33882560"/>
    <w:rsid w:val="33B4442E"/>
    <w:rsid w:val="33C72E73"/>
    <w:rsid w:val="33DF5033"/>
    <w:rsid w:val="33E1CCE9"/>
    <w:rsid w:val="33EE230D"/>
    <w:rsid w:val="33F6E097"/>
    <w:rsid w:val="3432D4AB"/>
    <w:rsid w:val="343440EB"/>
    <w:rsid w:val="3457FF38"/>
    <w:rsid w:val="345D74A0"/>
    <w:rsid w:val="346225C6"/>
    <w:rsid w:val="3472CF4B"/>
    <w:rsid w:val="34755094"/>
    <w:rsid w:val="34793641"/>
    <w:rsid w:val="348E8F0E"/>
    <w:rsid w:val="3492D134"/>
    <w:rsid w:val="349FBBC8"/>
    <w:rsid w:val="34A34F22"/>
    <w:rsid w:val="34C2C464"/>
    <w:rsid w:val="34E065F0"/>
    <w:rsid w:val="34ECF669"/>
    <w:rsid w:val="34F70556"/>
    <w:rsid w:val="35133265"/>
    <w:rsid w:val="352274FE"/>
    <w:rsid w:val="352CDBB2"/>
    <w:rsid w:val="35320CAA"/>
    <w:rsid w:val="353A1752"/>
    <w:rsid w:val="353F0249"/>
    <w:rsid w:val="35407C67"/>
    <w:rsid w:val="35679F3B"/>
    <w:rsid w:val="35750831"/>
    <w:rsid w:val="357B94E8"/>
    <w:rsid w:val="358F2ABF"/>
    <w:rsid w:val="35AA8682"/>
    <w:rsid w:val="35AEEF03"/>
    <w:rsid w:val="35C6BAAD"/>
    <w:rsid w:val="35CF36E3"/>
    <w:rsid w:val="35D7782C"/>
    <w:rsid w:val="35FEC4D3"/>
    <w:rsid w:val="3608FC7C"/>
    <w:rsid w:val="360BA5A4"/>
    <w:rsid w:val="360F9035"/>
    <w:rsid w:val="361306F9"/>
    <w:rsid w:val="364243D5"/>
    <w:rsid w:val="3658AE7D"/>
    <w:rsid w:val="365A3D59"/>
    <w:rsid w:val="3663DA98"/>
    <w:rsid w:val="36659BC3"/>
    <w:rsid w:val="366C1BB1"/>
    <w:rsid w:val="367C8A64"/>
    <w:rsid w:val="36A1DA49"/>
    <w:rsid w:val="36A2359B"/>
    <w:rsid w:val="36A8BC57"/>
    <w:rsid w:val="36A9BD7F"/>
    <w:rsid w:val="36AB0527"/>
    <w:rsid w:val="36B175D6"/>
    <w:rsid w:val="372020D9"/>
    <w:rsid w:val="373AD94E"/>
    <w:rsid w:val="3759B873"/>
    <w:rsid w:val="375CFF88"/>
    <w:rsid w:val="37696453"/>
    <w:rsid w:val="377013C1"/>
    <w:rsid w:val="377574A6"/>
    <w:rsid w:val="378F9208"/>
    <w:rsid w:val="37957DC9"/>
    <w:rsid w:val="37AB0A94"/>
    <w:rsid w:val="37AE424F"/>
    <w:rsid w:val="37B41DB2"/>
    <w:rsid w:val="37B5B9DF"/>
    <w:rsid w:val="37C19725"/>
    <w:rsid w:val="37CADB6D"/>
    <w:rsid w:val="37D7C2C5"/>
    <w:rsid w:val="37E78E0D"/>
    <w:rsid w:val="37EB9E87"/>
    <w:rsid w:val="37EF4AA0"/>
    <w:rsid w:val="3818FBF8"/>
    <w:rsid w:val="3824FD18"/>
    <w:rsid w:val="38395D4E"/>
    <w:rsid w:val="384491C1"/>
    <w:rsid w:val="3848BBA5"/>
    <w:rsid w:val="384B9946"/>
    <w:rsid w:val="3850DD82"/>
    <w:rsid w:val="386BE98E"/>
    <w:rsid w:val="387EF442"/>
    <w:rsid w:val="3892BBCA"/>
    <w:rsid w:val="38A042F8"/>
    <w:rsid w:val="38BBAD30"/>
    <w:rsid w:val="38E823CE"/>
    <w:rsid w:val="38E9F5DB"/>
    <w:rsid w:val="38FBC9E7"/>
    <w:rsid w:val="3905C83F"/>
    <w:rsid w:val="394A32AA"/>
    <w:rsid w:val="3954AD3A"/>
    <w:rsid w:val="39595387"/>
    <w:rsid w:val="396197DA"/>
    <w:rsid w:val="3964BA0A"/>
    <w:rsid w:val="396D5F22"/>
    <w:rsid w:val="3980FD53"/>
    <w:rsid w:val="39A658D7"/>
    <w:rsid w:val="39B03F4D"/>
    <w:rsid w:val="39E2719D"/>
    <w:rsid w:val="39F1BB77"/>
    <w:rsid w:val="3A1170B3"/>
    <w:rsid w:val="3A13C2F5"/>
    <w:rsid w:val="3A17817A"/>
    <w:rsid w:val="3A2F3ED5"/>
    <w:rsid w:val="3A3F5697"/>
    <w:rsid w:val="3A48F3CD"/>
    <w:rsid w:val="3A6DED01"/>
    <w:rsid w:val="3A7FD73A"/>
    <w:rsid w:val="3A97D0A7"/>
    <w:rsid w:val="3A9C3311"/>
    <w:rsid w:val="3A9F15E8"/>
    <w:rsid w:val="3AA40985"/>
    <w:rsid w:val="3ABCF977"/>
    <w:rsid w:val="3AD6A71D"/>
    <w:rsid w:val="3AD8093D"/>
    <w:rsid w:val="3ADCA918"/>
    <w:rsid w:val="3ADF4372"/>
    <w:rsid w:val="3AE717F9"/>
    <w:rsid w:val="3B16CB64"/>
    <w:rsid w:val="3B2C8C15"/>
    <w:rsid w:val="3B30C89B"/>
    <w:rsid w:val="3B3EE665"/>
    <w:rsid w:val="3B4C3167"/>
    <w:rsid w:val="3B4DDF6D"/>
    <w:rsid w:val="3B559369"/>
    <w:rsid w:val="3B6BCD6D"/>
    <w:rsid w:val="3B71BA93"/>
    <w:rsid w:val="3B8DC256"/>
    <w:rsid w:val="3B932EDB"/>
    <w:rsid w:val="3B968CBA"/>
    <w:rsid w:val="3BA7B874"/>
    <w:rsid w:val="3BCB01E7"/>
    <w:rsid w:val="3BE90847"/>
    <w:rsid w:val="3BF0FF7F"/>
    <w:rsid w:val="3C28BDF8"/>
    <w:rsid w:val="3C2B4B67"/>
    <w:rsid w:val="3C2EF5B4"/>
    <w:rsid w:val="3C3430E6"/>
    <w:rsid w:val="3C38CBC7"/>
    <w:rsid w:val="3C3A6370"/>
    <w:rsid w:val="3C3C337D"/>
    <w:rsid w:val="3C3F52D0"/>
    <w:rsid w:val="3C4AE025"/>
    <w:rsid w:val="3C4B2247"/>
    <w:rsid w:val="3C4C5EC6"/>
    <w:rsid w:val="3C578AFB"/>
    <w:rsid w:val="3C67A573"/>
    <w:rsid w:val="3C91B4F7"/>
    <w:rsid w:val="3CBAF406"/>
    <w:rsid w:val="3CBEF908"/>
    <w:rsid w:val="3CC4D9B7"/>
    <w:rsid w:val="3CC541A3"/>
    <w:rsid w:val="3CC8739D"/>
    <w:rsid w:val="3CD12541"/>
    <w:rsid w:val="3CD60516"/>
    <w:rsid w:val="3CFBE5A7"/>
    <w:rsid w:val="3D0253EF"/>
    <w:rsid w:val="3D24A0C7"/>
    <w:rsid w:val="3D30B671"/>
    <w:rsid w:val="3D3AE8AC"/>
    <w:rsid w:val="3D410698"/>
    <w:rsid w:val="3D60C9FF"/>
    <w:rsid w:val="3D803DEA"/>
    <w:rsid w:val="3D8F9843"/>
    <w:rsid w:val="3D9F503E"/>
    <w:rsid w:val="3DACFA99"/>
    <w:rsid w:val="3DF7E5D5"/>
    <w:rsid w:val="3E014223"/>
    <w:rsid w:val="3E0490CF"/>
    <w:rsid w:val="3E0BCF4C"/>
    <w:rsid w:val="3E16CC9A"/>
    <w:rsid w:val="3E1E4E1C"/>
    <w:rsid w:val="3E3906F7"/>
    <w:rsid w:val="3E3D7047"/>
    <w:rsid w:val="3E610632"/>
    <w:rsid w:val="3E61F6DE"/>
    <w:rsid w:val="3E73CB54"/>
    <w:rsid w:val="3E789782"/>
    <w:rsid w:val="3E989E08"/>
    <w:rsid w:val="3EA46B52"/>
    <w:rsid w:val="3EC3B708"/>
    <w:rsid w:val="3EDDA8B3"/>
    <w:rsid w:val="3EE39D0C"/>
    <w:rsid w:val="3EF1DCF4"/>
    <w:rsid w:val="3F01F458"/>
    <w:rsid w:val="3F22A59E"/>
    <w:rsid w:val="3F39D640"/>
    <w:rsid w:val="3F5162E4"/>
    <w:rsid w:val="3F51E8FB"/>
    <w:rsid w:val="3F549352"/>
    <w:rsid w:val="3F5DE3AC"/>
    <w:rsid w:val="3F647F9B"/>
    <w:rsid w:val="3F86798D"/>
    <w:rsid w:val="3F8DA169"/>
    <w:rsid w:val="3FA504AD"/>
    <w:rsid w:val="3FB32C89"/>
    <w:rsid w:val="3FB50675"/>
    <w:rsid w:val="3FC20785"/>
    <w:rsid w:val="3FC8979F"/>
    <w:rsid w:val="3FC923D5"/>
    <w:rsid w:val="3FF435A6"/>
    <w:rsid w:val="3FF7B3B6"/>
    <w:rsid w:val="3FFF5937"/>
    <w:rsid w:val="400D2915"/>
    <w:rsid w:val="401B9BB6"/>
    <w:rsid w:val="403BB547"/>
    <w:rsid w:val="404E79FF"/>
    <w:rsid w:val="407CD150"/>
    <w:rsid w:val="407EBF8A"/>
    <w:rsid w:val="40896E53"/>
    <w:rsid w:val="4091F8FD"/>
    <w:rsid w:val="409EF700"/>
    <w:rsid w:val="40ACFF73"/>
    <w:rsid w:val="40BC00C0"/>
    <w:rsid w:val="40C1B10A"/>
    <w:rsid w:val="40C84290"/>
    <w:rsid w:val="40CB22E3"/>
    <w:rsid w:val="40DAD200"/>
    <w:rsid w:val="40E08064"/>
    <w:rsid w:val="40F43B30"/>
    <w:rsid w:val="40F7F62B"/>
    <w:rsid w:val="40FE80F0"/>
    <w:rsid w:val="41173623"/>
    <w:rsid w:val="411CAB2E"/>
    <w:rsid w:val="41273251"/>
    <w:rsid w:val="4128C9D0"/>
    <w:rsid w:val="41321395"/>
    <w:rsid w:val="4153A4E9"/>
    <w:rsid w:val="417A2710"/>
    <w:rsid w:val="4190B878"/>
    <w:rsid w:val="4190E18B"/>
    <w:rsid w:val="41AD5D28"/>
    <w:rsid w:val="41B3BCD8"/>
    <w:rsid w:val="41B92A2B"/>
    <w:rsid w:val="41B940D4"/>
    <w:rsid w:val="41BF1D54"/>
    <w:rsid w:val="41BF4391"/>
    <w:rsid w:val="41D2CB94"/>
    <w:rsid w:val="41E51D6B"/>
    <w:rsid w:val="41F5A3F0"/>
    <w:rsid w:val="42083BB4"/>
    <w:rsid w:val="420EEC6B"/>
    <w:rsid w:val="42131EC9"/>
    <w:rsid w:val="4221FFE2"/>
    <w:rsid w:val="4224EE4A"/>
    <w:rsid w:val="42663B9A"/>
    <w:rsid w:val="4266A0F6"/>
    <w:rsid w:val="426AD111"/>
    <w:rsid w:val="428CDE57"/>
    <w:rsid w:val="428F5C9A"/>
    <w:rsid w:val="42AD2DC0"/>
    <w:rsid w:val="42C5422B"/>
    <w:rsid w:val="42DD34A2"/>
    <w:rsid w:val="42E2FE54"/>
    <w:rsid w:val="42E6A870"/>
    <w:rsid w:val="42FC2107"/>
    <w:rsid w:val="42FC348A"/>
    <w:rsid w:val="42FC969E"/>
    <w:rsid w:val="4303074F"/>
    <w:rsid w:val="4328ED7E"/>
    <w:rsid w:val="432C1A74"/>
    <w:rsid w:val="432DFAAB"/>
    <w:rsid w:val="432FCF38"/>
    <w:rsid w:val="436D39AE"/>
    <w:rsid w:val="4373A12F"/>
    <w:rsid w:val="4386CB6E"/>
    <w:rsid w:val="439DE1DA"/>
    <w:rsid w:val="43A6CE73"/>
    <w:rsid w:val="43AF5470"/>
    <w:rsid w:val="43BDADCC"/>
    <w:rsid w:val="43E15AAF"/>
    <w:rsid w:val="43E7DC55"/>
    <w:rsid w:val="43EC467B"/>
    <w:rsid w:val="43F0AAF1"/>
    <w:rsid w:val="43FE80FC"/>
    <w:rsid w:val="4404A852"/>
    <w:rsid w:val="441D7536"/>
    <w:rsid w:val="4446F150"/>
    <w:rsid w:val="446AA2C2"/>
    <w:rsid w:val="44977FBC"/>
    <w:rsid w:val="449BF1E1"/>
    <w:rsid w:val="44A2D347"/>
    <w:rsid w:val="44B0A27B"/>
    <w:rsid w:val="44C0FA69"/>
    <w:rsid w:val="44C356AD"/>
    <w:rsid w:val="44C88C7C"/>
    <w:rsid w:val="44EFCC26"/>
    <w:rsid w:val="44F0BC1A"/>
    <w:rsid w:val="452578E1"/>
    <w:rsid w:val="4539AB5C"/>
    <w:rsid w:val="45600AEC"/>
    <w:rsid w:val="458CDEF6"/>
    <w:rsid w:val="459BFE82"/>
    <w:rsid w:val="45A78D14"/>
    <w:rsid w:val="45ABA77D"/>
    <w:rsid w:val="45BAFEC2"/>
    <w:rsid w:val="45C5C86A"/>
    <w:rsid w:val="45D77A98"/>
    <w:rsid w:val="45EC5C5B"/>
    <w:rsid w:val="46025514"/>
    <w:rsid w:val="4619531F"/>
    <w:rsid w:val="461F0454"/>
    <w:rsid w:val="462693C9"/>
    <w:rsid w:val="46319BA8"/>
    <w:rsid w:val="46492E12"/>
    <w:rsid w:val="464FF3AF"/>
    <w:rsid w:val="4659528A"/>
    <w:rsid w:val="465D6924"/>
    <w:rsid w:val="467059F0"/>
    <w:rsid w:val="467D0755"/>
    <w:rsid w:val="468615B0"/>
    <w:rsid w:val="469B1452"/>
    <w:rsid w:val="469D5721"/>
    <w:rsid w:val="46A514DB"/>
    <w:rsid w:val="46AE0739"/>
    <w:rsid w:val="46B6D116"/>
    <w:rsid w:val="46B7EC61"/>
    <w:rsid w:val="46C4C5C3"/>
    <w:rsid w:val="46CFEE1C"/>
    <w:rsid w:val="46E41344"/>
    <w:rsid w:val="46FC6ED9"/>
    <w:rsid w:val="4705A73E"/>
    <w:rsid w:val="47065EBD"/>
    <w:rsid w:val="470EB4FE"/>
    <w:rsid w:val="471ADAD8"/>
    <w:rsid w:val="471D7CED"/>
    <w:rsid w:val="47211E4B"/>
    <w:rsid w:val="472151E8"/>
    <w:rsid w:val="47311DED"/>
    <w:rsid w:val="474066C8"/>
    <w:rsid w:val="474C734C"/>
    <w:rsid w:val="475172EB"/>
    <w:rsid w:val="4753CEBF"/>
    <w:rsid w:val="477D73DC"/>
    <w:rsid w:val="47875CB0"/>
    <w:rsid w:val="4791BD5C"/>
    <w:rsid w:val="4796114E"/>
    <w:rsid w:val="479A7EB1"/>
    <w:rsid w:val="47B6451E"/>
    <w:rsid w:val="47B6A935"/>
    <w:rsid w:val="47BA21C9"/>
    <w:rsid w:val="47BA5B75"/>
    <w:rsid w:val="47BC4A60"/>
    <w:rsid w:val="47BE6C4F"/>
    <w:rsid w:val="47BE9240"/>
    <w:rsid w:val="47C2F292"/>
    <w:rsid w:val="47D65EF0"/>
    <w:rsid w:val="47EC4FB5"/>
    <w:rsid w:val="47F6D4C3"/>
    <w:rsid w:val="480DA184"/>
    <w:rsid w:val="480F76A8"/>
    <w:rsid w:val="48140910"/>
    <w:rsid w:val="48166212"/>
    <w:rsid w:val="481A94DE"/>
    <w:rsid w:val="482214F3"/>
    <w:rsid w:val="48303B7B"/>
    <w:rsid w:val="4830D4E5"/>
    <w:rsid w:val="483844A3"/>
    <w:rsid w:val="483C8869"/>
    <w:rsid w:val="48486A02"/>
    <w:rsid w:val="485A577B"/>
    <w:rsid w:val="487A7FEA"/>
    <w:rsid w:val="48808BCF"/>
    <w:rsid w:val="4882527E"/>
    <w:rsid w:val="48864756"/>
    <w:rsid w:val="488E3938"/>
    <w:rsid w:val="489ADFA5"/>
    <w:rsid w:val="48A31D5A"/>
    <w:rsid w:val="48F78723"/>
    <w:rsid w:val="491B4675"/>
    <w:rsid w:val="493B7A53"/>
    <w:rsid w:val="494224CB"/>
    <w:rsid w:val="496FABE4"/>
    <w:rsid w:val="49776040"/>
    <w:rsid w:val="4988F809"/>
    <w:rsid w:val="498BFD63"/>
    <w:rsid w:val="4994FC7A"/>
    <w:rsid w:val="49AD081B"/>
    <w:rsid w:val="49BF3F54"/>
    <w:rsid w:val="49E1DA04"/>
    <w:rsid w:val="49EC6347"/>
    <w:rsid w:val="49F0CEF9"/>
    <w:rsid w:val="49F26ACC"/>
    <w:rsid w:val="49FC3A08"/>
    <w:rsid w:val="4A02ECC8"/>
    <w:rsid w:val="4A03F6D5"/>
    <w:rsid w:val="4A0B894F"/>
    <w:rsid w:val="4A108775"/>
    <w:rsid w:val="4A384F35"/>
    <w:rsid w:val="4A3BCB8E"/>
    <w:rsid w:val="4A45EC26"/>
    <w:rsid w:val="4A49ACE7"/>
    <w:rsid w:val="4A5354DD"/>
    <w:rsid w:val="4A718CD8"/>
    <w:rsid w:val="4A796F0B"/>
    <w:rsid w:val="4A7B6D5C"/>
    <w:rsid w:val="4A829536"/>
    <w:rsid w:val="4A8B4499"/>
    <w:rsid w:val="4A930D93"/>
    <w:rsid w:val="4AA69A62"/>
    <w:rsid w:val="4AA8D039"/>
    <w:rsid w:val="4AB9A105"/>
    <w:rsid w:val="4AD21374"/>
    <w:rsid w:val="4AD86B1A"/>
    <w:rsid w:val="4ADCB3C5"/>
    <w:rsid w:val="4AEBCA6C"/>
    <w:rsid w:val="4B045418"/>
    <w:rsid w:val="4B15E49A"/>
    <w:rsid w:val="4B171E23"/>
    <w:rsid w:val="4B236EC2"/>
    <w:rsid w:val="4B30D107"/>
    <w:rsid w:val="4B442C55"/>
    <w:rsid w:val="4B47393B"/>
    <w:rsid w:val="4B4DE7F2"/>
    <w:rsid w:val="4B6F9600"/>
    <w:rsid w:val="4B72ABE9"/>
    <w:rsid w:val="4B7F3637"/>
    <w:rsid w:val="4BA83B47"/>
    <w:rsid w:val="4BAA8AB9"/>
    <w:rsid w:val="4BB9CFCE"/>
    <w:rsid w:val="4BD0C39F"/>
    <w:rsid w:val="4BD905DA"/>
    <w:rsid w:val="4BF5F1C1"/>
    <w:rsid w:val="4BF8A1BD"/>
    <w:rsid w:val="4C06DE57"/>
    <w:rsid w:val="4C362CA9"/>
    <w:rsid w:val="4C387FD2"/>
    <w:rsid w:val="4C39FF14"/>
    <w:rsid w:val="4C3E5E8A"/>
    <w:rsid w:val="4C4003D9"/>
    <w:rsid w:val="4C4F1051"/>
    <w:rsid w:val="4C560D3C"/>
    <w:rsid w:val="4C638B65"/>
    <w:rsid w:val="4C7AEF77"/>
    <w:rsid w:val="4C911703"/>
    <w:rsid w:val="4CAFD631"/>
    <w:rsid w:val="4CB57AF5"/>
    <w:rsid w:val="4CC57CC9"/>
    <w:rsid w:val="4CCF4E06"/>
    <w:rsid w:val="4CD2F564"/>
    <w:rsid w:val="4CDFF13A"/>
    <w:rsid w:val="4D0FF98C"/>
    <w:rsid w:val="4D21E152"/>
    <w:rsid w:val="4D312B45"/>
    <w:rsid w:val="4D3A1CB0"/>
    <w:rsid w:val="4D4BEC52"/>
    <w:rsid w:val="4D6D667B"/>
    <w:rsid w:val="4D780797"/>
    <w:rsid w:val="4D7C62E7"/>
    <w:rsid w:val="4D8B52A1"/>
    <w:rsid w:val="4DA79C01"/>
    <w:rsid w:val="4DA7AE18"/>
    <w:rsid w:val="4DABDC56"/>
    <w:rsid w:val="4DC0914A"/>
    <w:rsid w:val="4DD9D87A"/>
    <w:rsid w:val="4DE3403B"/>
    <w:rsid w:val="4DF09F63"/>
    <w:rsid w:val="4DFD29F9"/>
    <w:rsid w:val="4DFDFFEE"/>
    <w:rsid w:val="4DFF5BC6"/>
    <w:rsid w:val="4E0E7556"/>
    <w:rsid w:val="4E25A47E"/>
    <w:rsid w:val="4E274CD1"/>
    <w:rsid w:val="4E3D48BC"/>
    <w:rsid w:val="4E402246"/>
    <w:rsid w:val="4E548A37"/>
    <w:rsid w:val="4E5F25DB"/>
    <w:rsid w:val="4E612895"/>
    <w:rsid w:val="4E758BB1"/>
    <w:rsid w:val="4E93A6EF"/>
    <w:rsid w:val="4E9BA8FC"/>
    <w:rsid w:val="4EA0786C"/>
    <w:rsid w:val="4EAE712F"/>
    <w:rsid w:val="4EAEFCD8"/>
    <w:rsid w:val="4EB69AD1"/>
    <w:rsid w:val="4EBEE72C"/>
    <w:rsid w:val="4ECADC14"/>
    <w:rsid w:val="4ECD3AFF"/>
    <w:rsid w:val="4ECF1B96"/>
    <w:rsid w:val="4EF49A9B"/>
    <w:rsid w:val="4F14ECFF"/>
    <w:rsid w:val="4F166FA9"/>
    <w:rsid w:val="4F1A6EB3"/>
    <w:rsid w:val="4F1DC279"/>
    <w:rsid w:val="4F223A95"/>
    <w:rsid w:val="4F22C719"/>
    <w:rsid w:val="4F4FA10D"/>
    <w:rsid w:val="4F51C89A"/>
    <w:rsid w:val="4F700657"/>
    <w:rsid w:val="4F742296"/>
    <w:rsid w:val="4F7B7BB8"/>
    <w:rsid w:val="4F7CF2CA"/>
    <w:rsid w:val="4F83898D"/>
    <w:rsid w:val="4F933EA1"/>
    <w:rsid w:val="4F94521F"/>
    <w:rsid w:val="4FB8B6D7"/>
    <w:rsid w:val="4FC4CEFB"/>
    <w:rsid w:val="4FE6B193"/>
    <w:rsid w:val="4FEBF490"/>
    <w:rsid w:val="500569BD"/>
    <w:rsid w:val="50074347"/>
    <w:rsid w:val="50097523"/>
    <w:rsid w:val="501C1B67"/>
    <w:rsid w:val="502C4DFC"/>
    <w:rsid w:val="503B6477"/>
    <w:rsid w:val="50639A71"/>
    <w:rsid w:val="50760798"/>
    <w:rsid w:val="507C56A9"/>
    <w:rsid w:val="5082BFA2"/>
    <w:rsid w:val="509CF6B8"/>
    <w:rsid w:val="50BCEDE1"/>
    <w:rsid w:val="50C4FC57"/>
    <w:rsid w:val="50C636D1"/>
    <w:rsid w:val="50D03983"/>
    <w:rsid w:val="50D9DAE9"/>
    <w:rsid w:val="50E59B2F"/>
    <w:rsid w:val="50F2917A"/>
    <w:rsid w:val="50FC5C9E"/>
    <w:rsid w:val="5100DF52"/>
    <w:rsid w:val="510823FF"/>
    <w:rsid w:val="511CB837"/>
    <w:rsid w:val="511F6E40"/>
    <w:rsid w:val="5120472C"/>
    <w:rsid w:val="5121E219"/>
    <w:rsid w:val="51255A10"/>
    <w:rsid w:val="5161BDF4"/>
    <w:rsid w:val="516F4B05"/>
    <w:rsid w:val="517ED126"/>
    <w:rsid w:val="5187E7A1"/>
    <w:rsid w:val="51896DC2"/>
    <w:rsid w:val="518D8062"/>
    <w:rsid w:val="518E2372"/>
    <w:rsid w:val="51970BBB"/>
    <w:rsid w:val="519F7ED1"/>
    <w:rsid w:val="51A555B1"/>
    <w:rsid w:val="51B70B89"/>
    <w:rsid w:val="51C8A7FA"/>
    <w:rsid w:val="51D27C7C"/>
    <w:rsid w:val="51D6CE06"/>
    <w:rsid w:val="51E2657F"/>
    <w:rsid w:val="5200CCDB"/>
    <w:rsid w:val="520D68DD"/>
    <w:rsid w:val="522AC43F"/>
    <w:rsid w:val="52373536"/>
    <w:rsid w:val="52549FA5"/>
    <w:rsid w:val="5255BD06"/>
    <w:rsid w:val="527461A7"/>
    <w:rsid w:val="5275CE32"/>
    <w:rsid w:val="5298E8AA"/>
    <w:rsid w:val="5299C494"/>
    <w:rsid w:val="529E2B0A"/>
    <w:rsid w:val="52AA890A"/>
    <w:rsid w:val="52B9845F"/>
    <w:rsid w:val="52BE9902"/>
    <w:rsid w:val="52BFBC4F"/>
    <w:rsid w:val="52C96C75"/>
    <w:rsid w:val="52CCF665"/>
    <w:rsid w:val="52D6CEDC"/>
    <w:rsid w:val="52DBA48B"/>
    <w:rsid w:val="52DEDCAF"/>
    <w:rsid w:val="52E2F692"/>
    <w:rsid w:val="52F9EE92"/>
    <w:rsid w:val="53235207"/>
    <w:rsid w:val="5327E61A"/>
    <w:rsid w:val="533421BF"/>
    <w:rsid w:val="533C4081"/>
    <w:rsid w:val="534B4A47"/>
    <w:rsid w:val="534CD9F8"/>
    <w:rsid w:val="534D7567"/>
    <w:rsid w:val="536CEA08"/>
    <w:rsid w:val="536F57CE"/>
    <w:rsid w:val="538E9565"/>
    <w:rsid w:val="53953BE0"/>
    <w:rsid w:val="53E68A3E"/>
    <w:rsid w:val="53ED71C8"/>
    <w:rsid w:val="53FE0F3B"/>
    <w:rsid w:val="5428DC8B"/>
    <w:rsid w:val="5435D07F"/>
    <w:rsid w:val="543CCF3C"/>
    <w:rsid w:val="543DBD78"/>
    <w:rsid w:val="54551CF6"/>
    <w:rsid w:val="5470432B"/>
    <w:rsid w:val="547FAE53"/>
    <w:rsid w:val="549A14CA"/>
    <w:rsid w:val="54B4D65A"/>
    <w:rsid w:val="54C1B580"/>
    <w:rsid w:val="54E3F00D"/>
    <w:rsid w:val="5505629B"/>
    <w:rsid w:val="55056FE1"/>
    <w:rsid w:val="550BE07F"/>
    <w:rsid w:val="550CB8C5"/>
    <w:rsid w:val="5531870F"/>
    <w:rsid w:val="5541B77A"/>
    <w:rsid w:val="55576686"/>
    <w:rsid w:val="55673098"/>
    <w:rsid w:val="5582A886"/>
    <w:rsid w:val="55877AFF"/>
    <w:rsid w:val="55886CF7"/>
    <w:rsid w:val="5592D8DA"/>
    <w:rsid w:val="55A8B642"/>
    <w:rsid w:val="55B9DFC3"/>
    <w:rsid w:val="55C11C82"/>
    <w:rsid w:val="55CBC3CF"/>
    <w:rsid w:val="55CE71FD"/>
    <w:rsid w:val="55D9FA9C"/>
    <w:rsid w:val="55F11192"/>
    <w:rsid w:val="55FC088C"/>
    <w:rsid w:val="55FFF4A8"/>
    <w:rsid w:val="562C180D"/>
    <w:rsid w:val="5697EC8E"/>
    <w:rsid w:val="56A8A419"/>
    <w:rsid w:val="56AC2F85"/>
    <w:rsid w:val="56AD57B9"/>
    <w:rsid w:val="56BF928D"/>
    <w:rsid w:val="56C194B3"/>
    <w:rsid w:val="56DD0FFC"/>
    <w:rsid w:val="56E50E65"/>
    <w:rsid w:val="56E6E27C"/>
    <w:rsid w:val="56EBC67B"/>
    <w:rsid w:val="56F4B698"/>
    <w:rsid w:val="56F51CC1"/>
    <w:rsid w:val="56F7D772"/>
    <w:rsid w:val="5705FFBE"/>
    <w:rsid w:val="5720BC71"/>
    <w:rsid w:val="57274953"/>
    <w:rsid w:val="573D3245"/>
    <w:rsid w:val="5755C541"/>
    <w:rsid w:val="5759E451"/>
    <w:rsid w:val="57600A4A"/>
    <w:rsid w:val="57644FA8"/>
    <w:rsid w:val="576BF50D"/>
    <w:rsid w:val="577A2E98"/>
    <w:rsid w:val="577FF26B"/>
    <w:rsid w:val="57932E55"/>
    <w:rsid w:val="57A5078C"/>
    <w:rsid w:val="57B8D1A9"/>
    <w:rsid w:val="57D89664"/>
    <w:rsid w:val="57DA7BE0"/>
    <w:rsid w:val="57E6CED7"/>
    <w:rsid w:val="57F1D3F1"/>
    <w:rsid w:val="57F3682D"/>
    <w:rsid w:val="5802D8D5"/>
    <w:rsid w:val="58097F2F"/>
    <w:rsid w:val="580D1D40"/>
    <w:rsid w:val="58271013"/>
    <w:rsid w:val="583ADC1F"/>
    <w:rsid w:val="585412CC"/>
    <w:rsid w:val="585B4F94"/>
    <w:rsid w:val="5861BB4F"/>
    <w:rsid w:val="586DA631"/>
    <w:rsid w:val="587FBD02"/>
    <w:rsid w:val="58850063"/>
    <w:rsid w:val="5886C0D2"/>
    <w:rsid w:val="58877E18"/>
    <w:rsid w:val="588FC50A"/>
    <w:rsid w:val="5891C8E3"/>
    <w:rsid w:val="58B840E1"/>
    <w:rsid w:val="58C2FD52"/>
    <w:rsid w:val="58D7506A"/>
    <w:rsid w:val="58DD6E93"/>
    <w:rsid w:val="58E65CB0"/>
    <w:rsid w:val="58E881BD"/>
    <w:rsid w:val="5902D23C"/>
    <w:rsid w:val="59082A2E"/>
    <w:rsid w:val="590E1F84"/>
    <w:rsid w:val="591A330F"/>
    <w:rsid w:val="59209FD7"/>
    <w:rsid w:val="59263DBC"/>
    <w:rsid w:val="59420E6D"/>
    <w:rsid w:val="59460723"/>
    <w:rsid w:val="596088FD"/>
    <w:rsid w:val="596643E0"/>
    <w:rsid w:val="5968B407"/>
    <w:rsid w:val="59751169"/>
    <w:rsid w:val="597DC527"/>
    <w:rsid w:val="597F43A9"/>
    <w:rsid w:val="598367DD"/>
    <w:rsid w:val="5983C4D7"/>
    <w:rsid w:val="59A2C04E"/>
    <w:rsid w:val="59B09B97"/>
    <w:rsid w:val="59CABCCB"/>
    <w:rsid w:val="59CBBDC0"/>
    <w:rsid w:val="59D27592"/>
    <w:rsid w:val="59D72725"/>
    <w:rsid w:val="59F3FF9B"/>
    <w:rsid w:val="59FAEE79"/>
    <w:rsid w:val="5A09A309"/>
    <w:rsid w:val="5A0AC5C9"/>
    <w:rsid w:val="5A0BAD97"/>
    <w:rsid w:val="5A2E0E0F"/>
    <w:rsid w:val="5A33D6DD"/>
    <w:rsid w:val="5A415054"/>
    <w:rsid w:val="5A44D7DF"/>
    <w:rsid w:val="5A74D1FE"/>
    <w:rsid w:val="5A920B0A"/>
    <w:rsid w:val="5A942F1C"/>
    <w:rsid w:val="5AA71468"/>
    <w:rsid w:val="5AA8F5B2"/>
    <w:rsid w:val="5AAA7D4B"/>
    <w:rsid w:val="5AC0565A"/>
    <w:rsid w:val="5AC64AA7"/>
    <w:rsid w:val="5ADE6257"/>
    <w:rsid w:val="5AE14849"/>
    <w:rsid w:val="5AE48A3D"/>
    <w:rsid w:val="5AF3EE07"/>
    <w:rsid w:val="5B0284DA"/>
    <w:rsid w:val="5B11734C"/>
    <w:rsid w:val="5B2AB1DD"/>
    <w:rsid w:val="5B2AC805"/>
    <w:rsid w:val="5B3AAA96"/>
    <w:rsid w:val="5B3CACC4"/>
    <w:rsid w:val="5B4B08AA"/>
    <w:rsid w:val="5B4D7C65"/>
    <w:rsid w:val="5B5826EE"/>
    <w:rsid w:val="5B6811B3"/>
    <w:rsid w:val="5B89C30F"/>
    <w:rsid w:val="5B8B08EC"/>
    <w:rsid w:val="5BA22789"/>
    <w:rsid w:val="5BB5B765"/>
    <w:rsid w:val="5BBB988D"/>
    <w:rsid w:val="5BC9B43B"/>
    <w:rsid w:val="5BD141F3"/>
    <w:rsid w:val="5BD2CF8F"/>
    <w:rsid w:val="5BE47A6B"/>
    <w:rsid w:val="5C1C1724"/>
    <w:rsid w:val="5C23B315"/>
    <w:rsid w:val="5C2CA0BD"/>
    <w:rsid w:val="5C332EF7"/>
    <w:rsid w:val="5C395AED"/>
    <w:rsid w:val="5C47ADC5"/>
    <w:rsid w:val="5C4F99E9"/>
    <w:rsid w:val="5C53DF73"/>
    <w:rsid w:val="5C5937A0"/>
    <w:rsid w:val="5C663CE2"/>
    <w:rsid w:val="5C90EEF6"/>
    <w:rsid w:val="5C925067"/>
    <w:rsid w:val="5CA40273"/>
    <w:rsid w:val="5CB5DEA5"/>
    <w:rsid w:val="5CD4FE65"/>
    <w:rsid w:val="5CD9CAFA"/>
    <w:rsid w:val="5CF1A29A"/>
    <w:rsid w:val="5D2ACFD2"/>
    <w:rsid w:val="5D342A3E"/>
    <w:rsid w:val="5D3D0769"/>
    <w:rsid w:val="5D74C16D"/>
    <w:rsid w:val="5D84F44F"/>
    <w:rsid w:val="5D8E283C"/>
    <w:rsid w:val="5DA345EF"/>
    <w:rsid w:val="5DA587A5"/>
    <w:rsid w:val="5DA7F96A"/>
    <w:rsid w:val="5DBD2824"/>
    <w:rsid w:val="5DBDA233"/>
    <w:rsid w:val="5DBEBB04"/>
    <w:rsid w:val="5DCF78EC"/>
    <w:rsid w:val="5DDF8CCF"/>
    <w:rsid w:val="5DF634AA"/>
    <w:rsid w:val="5DFAA189"/>
    <w:rsid w:val="5E1A7111"/>
    <w:rsid w:val="5E300398"/>
    <w:rsid w:val="5E414D00"/>
    <w:rsid w:val="5E4CE712"/>
    <w:rsid w:val="5E50C3A9"/>
    <w:rsid w:val="5E5FE41F"/>
    <w:rsid w:val="5E6C3AC8"/>
    <w:rsid w:val="5E7823D6"/>
    <w:rsid w:val="5E7A82E8"/>
    <w:rsid w:val="5E82889E"/>
    <w:rsid w:val="5E8EAC59"/>
    <w:rsid w:val="5EB07B5A"/>
    <w:rsid w:val="5EB44708"/>
    <w:rsid w:val="5EB52F17"/>
    <w:rsid w:val="5EBC61C1"/>
    <w:rsid w:val="5EF01A26"/>
    <w:rsid w:val="5EF7FEFF"/>
    <w:rsid w:val="5F052BD0"/>
    <w:rsid w:val="5F068015"/>
    <w:rsid w:val="5F1851EF"/>
    <w:rsid w:val="5F23A0F2"/>
    <w:rsid w:val="5F287D46"/>
    <w:rsid w:val="5F302193"/>
    <w:rsid w:val="5F37B31D"/>
    <w:rsid w:val="5F40BFAB"/>
    <w:rsid w:val="5F49913E"/>
    <w:rsid w:val="5F49DC60"/>
    <w:rsid w:val="5F4B7E97"/>
    <w:rsid w:val="5F4F3496"/>
    <w:rsid w:val="5F58C8A3"/>
    <w:rsid w:val="5F6FE2D4"/>
    <w:rsid w:val="5F80C62D"/>
    <w:rsid w:val="5FA67BC7"/>
    <w:rsid w:val="5FA9C7B1"/>
    <w:rsid w:val="5FD48A38"/>
    <w:rsid w:val="5FE30F03"/>
    <w:rsid w:val="5FE80862"/>
    <w:rsid w:val="5FEA65DD"/>
    <w:rsid w:val="5FF1FE57"/>
    <w:rsid w:val="6003FF2E"/>
    <w:rsid w:val="600CED41"/>
    <w:rsid w:val="60158D5D"/>
    <w:rsid w:val="6016120A"/>
    <w:rsid w:val="601BF8C5"/>
    <w:rsid w:val="60237562"/>
    <w:rsid w:val="603B512F"/>
    <w:rsid w:val="603BC12C"/>
    <w:rsid w:val="605906F7"/>
    <w:rsid w:val="605C3F10"/>
    <w:rsid w:val="6060F9FC"/>
    <w:rsid w:val="6062842B"/>
    <w:rsid w:val="60664D2C"/>
    <w:rsid w:val="606AC9E5"/>
    <w:rsid w:val="607A951D"/>
    <w:rsid w:val="607FC593"/>
    <w:rsid w:val="60821A5D"/>
    <w:rsid w:val="60996DE4"/>
    <w:rsid w:val="60AE60D4"/>
    <w:rsid w:val="60B40587"/>
    <w:rsid w:val="60B82BB5"/>
    <w:rsid w:val="60BAFF08"/>
    <w:rsid w:val="60CA9BB3"/>
    <w:rsid w:val="60D8F6AF"/>
    <w:rsid w:val="60DD612C"/>
    <w:rsid w:val="60EE1818"/>
    <w:rsid w:val="60EF47AC"/>
    <w:rsid w:val="60F61791"/>
    <w:rsid w:val="610868EA"/>
    <w:rsid w:val="61175BF4"/>
    <w:rsid w:val="6127F8AD"/>
    <w:rsid w:val="6133F7F5"/>
    <w:rsid w:val="613E7317"/>
    <w:rsid w:val="614036F6"/>
    <w:rsid w:val="615EE264"/>
    <w:rsid w:val="6169917A"/>
    <w:rsid w:val="618DBFEC"/>
    <w:rsid w:val="6196031D"/>
    <w:rsid w:val="61A4C452"/>
    <w:rsid w:val="61B3C77B"/>
    <w:rsid w:val="61B6DC9E"/>
    <w:rsid w:val="61BDB06B"/>
    <w:rsid w:val="61BDDDA3"/>
    <w:rsid w:val="61F62DB9"/>
    <w:rsid w:val="61F7ED07"/>
    <w:rsid w:val="62067E66"/>
    <w:rsid w:val="621488C9"/>
    <w:rsid w:val="624408D4"/>
    <w:rsid w:val="6244116E"/>
    <w:rsid w:val="62467046"/>
    <w:rsid w:val="62497053"/>
    <w:rsid w:val="6250BCFA"/>
    <w:rsid w:val="6257210F"/>
    <w:rsid w:val="626CE760"/>
    <w:rsid w:val="6290890B"/>
    <w:rsid w:val="62AF0C74"/>
    <w:rsid w:val="62B6B22A"/>
    <w:rsid w:val="62C14672"/>
    <w:rsid w:val="62C5B85C"/>
    <w:rsid w:val="62D94BBA"/>
    <w:rsid w:val="62E0B3EB"/>
    <w:rsid w:val="630C08C1"/>
    <w:rsid w:val="63165F02"/>
    <w:rsid w:val="631DF062"/>
    <w:rsid w:val="63301AFD"/>
    <w:rsid w:val="633BED6D"/>
    <w:rsid w:val="635410EB"/>
    <w:rsid w:val="635FC4B7"/>
    <w:rsid w:val="63775110"/>
    <w:rsid w:val="6387F343"/>
    <w:rsid w:val="63963B35"/>
    <w:rsid w:val="639BB6E6"/>
    <w:rsid w:val="639C7C6F"/>
    <w:rsid w:val="63BA3FFA"/>
    <w:rsid w:val="63C65A29"/>
    <w:rsid w:val="63D3446D"/>
    <w:rsid w:val="63E08C2B"/>
    <w:rsid w:val="63F54925"/>
    <w:rsid w:val="63F81FEC"/>
    <w:rsid w:val="63F9F92F"/>
    <w:rsid w:val="6401C441"/>
    <w:rsid w:val="641D7664"/>
    <w:rsid w:val="64239CCC"/>
    <w:rsid w:val="6438FB9F"/>
    <w:rsid w:val="64438BE2"/>
    <w:rsid w:val="644F5418"/>
    <w:rsid w:val="645A2AD8"/>
    <w:rsid w:val="645E1D86"/>
    <w:rsid w:val="6466D734"/>
    <w:rsid w:val="646E4928"/>
    <w:rsid w:val="646FABF5"/>
    <w:rsid w:val="647007D1"/>
    <w:rsid w:val="6479F6DB"/>
    <w:rsid w:val="64ACEB58"/>
    <w:rsid w:val="64B03E30"/>
    <w:rsid w:val="64BA27CB"/>
    <w:rsid w:val="64BF3EA1"/>
    <w:rsid w:val="64C1BA36"/>
    <w:rsid w:val="64D5B35F"/>
    <w:rsid w:val="64FB8111"/>
    <w:rsid w:val="64FDD866"/>
    <w:rsid w:val="65077111"/>
    <w:rsid w:val="650A48F6"/>
    <w:rsid w:val="65112F2D"/>
    <w:rsid w:val="651B076A"/>
    <w:rsid w:val="652571A6"/>
    <w:rsid w:val="652782C9"/>
    <w:rsid w:val="653C7FDB"/>
    <w:rsid w:val="653E9FC8"/>
    <w:rsid w:val="6542C2DF"/>
    <w:rsid w:val="654B7865"/>
    <w:rsid w:val="654F8238"/>
    <w:rsid w:val="6553633A"/>
    <w:rsid w:val="65564232"/>
    <w:rsid w:val="655CE32B"/>
    <w:rsid w:val="656E6E9A"/>
    <w:rsid w:val="65751EBF"/>
    <w:rsid w:val="657C1B89"/>
    <w:rsid w:val="658280FD"/>
    <w:rsid w:val="659CFBC5"/>
    <w:rsid w:val="65ABA319"/>
    <w:rsid w:val="65BC3BAA"/>
    <w:rsid w:val="65D567AE"/>
    <w:rsid w:val="65E6F93D"/>
    <w:rsid w:val="65E87BD5"/>
    <w:rsid w:val="6601DA11"/>
    <w:rsid w:val="660694D8"/>
    <w:rsid w:val="66288AE9"/>
    <w:rsid w:val="66324920"/>
    <w:rsid w:val="663A49F7"/>
    <w:rsid w:val="6648935C"/>
    <w:rsid w:val="664B3117"/>
    <w:rsid w:val="66695F37"/>
    <w:rsid w:val="6698B82B"/>
    <w:rsid w:val="6699114F"/>
    <w:rsid w:val="66A0F451"/>
    <w:rsid w:val="66A671F4"/>
    <w:rsid w:val="66A9FDCE"/>
    <w:rsid w:val="66BCFCAC"/>
    <w:rsid w:val="66DDB07D"/>
    <w:rsid w:val="66E13632"/>
    <w:rsid w:val="66E6DF45"/>
    <w:rsid w:val="66ECB0C4"/>
    <w:rsid w:val="66F504C6"/>
    <w:rsid w:val="66FEAF16"/>
    <w:rsid w:val="67078D78"/>
    <w:rsid w:val="67244E91"/>
    <w:rsid w:val="672FADA5"/>
    <w:rsid w:val="67426B54"/>
    <w:rsid w:val="674AF2FC"/>
    <w:rsid w:val="675D4698"/>
    <w:rsid w:val="67615AC3"/>
    <w:rsid w:val="67666580"/>
    <w:rsid w:val="6767E674"/>
    <w:rsid w:val="677C33F7"/>
    <w:rsid w:val="67900258"/>
    <w:rsid w:val="679055F1"/>
    <w:rsid w:val="6791AC97"/>
    <w:rsid w:val="679A6CB2"/>
    <w:rsid w:val="679D6FC0"/>
    <w:rsid w:val="67A35673"/>
    <w:rsid w:val="67B0E73D"/>
    <w:rsid w:val="67B485B3"/>
    <w:rsid w:val="67C18B14"/>
    <w:rsid w:val="67D82747"/>
    <w:rsid w:val="67ED0E0E"/>
    <w:rsid w:val="68010A19"/>
    <w:rsid w:val="68035B52"/>
    <w:rsid w:val="680FE2CA"/>
    <w:rsid w:val="682BF91C"/>
    <w:rsid w:val="6839C3BA"/>
    <w:rsid w:val="68468711"/>
    <w:rsid w:val="685990FB"/>
    <w:rsid w:val="688131C1"/>
    <w:rsid w:val="688741F0"/>
    <w:rsid w:val="688A2607"/>
    <w:rsid w:val="68A2B636"/>
    <w:rsid w:val="68B64D11"/>
    <w:rsid w:val="68C1D454"/>
    <w:rsid w:val="68CA7826"/>
    <w:rsid w:val="691128CD"/>
    <w:rsid w:val="6912C37B"/>
    <w:rsid w:val="692A762C"/>
    <w:rsid w:val="692ED09B"/>
    <w:rsid w:val="6947FEB6"/>
    <w:rsid w:val="6963A48C"/>
    <w:rsid w:val="6966CB9C"/>
    <w:rsid w:val="697881FA"/>
    <w:rsid w:val="697DBB06"/>
    <w:rsid w:val="69859305"/>
    <w:rsid w:val="6986083C"/>
    <w:rsid w:val="69905A69"/>
    <w:rsid w:val="699EF9CA"/>
    <w:rsid w:val="69A1ECAD"/>
    <w:rsid w:val="69A615AA"/>
    <w:rsid w:val="69B4C7CF"/>
    <w:rsid w:val="69B55B90"/>
    <w:rsid w:val="69BF7613"/>
    <w:rsid w:val="69C33066"/>
    <w:rsid w:val="69D6515E"/>
    <w:rsid w:val="69E2E85A"/>
    <w:rsid w:val="69E42E22"/>
    <w:rsid w:val="6A05F9D4"/>
    <w:rsid w:val="6A06A97D"/>
    <w:rsid w:val="6A0E2AEE"/>
    <w:rsid w:val="6A180641"/>
    <w:rsid w:val="6A2F9EC4"/>
    <w:rsid w:val="6A357573"/>
    <w:rsid w:val="6A424AAC"/>
    <w:rsid w:val="6A442155"/>
    <w:rsid w:val="6A4428C6"/>
    <w:rsid w:val="6A73291F"/>
    <w:rsid w:val="6A86B2B6"/>
    <w:rsid w:val="6A88CC61"/>
    <w:rsid w:val="6A95F013"/>
    <w:rsid w:val="6AB04EE8"/>
    <w:rsid w:val="6ABD347A"/>
    <w:rsid w:val="6ABE768F"/>
    <w:rsid w:val="6AE34F49"/>
    <w:rsid w:val="6AF9AFD7"/>
    <w:rsid w:val="6AFB9E4F"/>
    <w:rsid w:val="6B1015DD"/>
    <w:rsid w:val="6B27CF82"/>
    <w:rsid w:val="6B2BAC2A"/>
    <w:rsid w:val="6B48410E"/>
    <w:rsid w:val="6B51650E"/>
    <w:rsid w:val="6B5514D1"/>
    <w:rsid w:val="6B693DC8"/>
    <w:rsid w:val="6B8F3652"/>
    <w:rsid w:val="6BA9B721"/>
    <w:rsid w:val="6BB1B286"/>
    <w:rsid w:val="6BBA69A1"/>
    <w:rsid w:val="6BBD0B06"/>
    <w:rsid w:val="6BC5F400"/>
    <w:rsid w:val="6BCE4BB8"/>
    <w:rsid w:val="6BD8B34D"/>
    <w:rsid w:val="6BDF56E5"/>
    <w:rsid w:val="6BE33824"/>
    <w:rsid w:val="6BF3E95D"/>
    <w:rsid w:val="6C07CB98"/>
    <w:rsid w:val="6C0CA0BF"/>
    <w:rsid w:val="6C19109C"/>
    <w:rsid w:val="6C2743B0"/>
    <w:rsid w:val="6C2BCE4A"/>
    <w:rsid w:val="6C319545"/>
    <w:rsid w:val="6C38F3C8"/>
    <w:rsid w:val="6C71E529"/>
    <w:rsid w:val="6C83EB32"/>
    <w:rsid w:val="6C94D45A"/>
    <w:rsid w:val="6CB51665"/>
    <w:rsid w:val="6CCCE740"/>
    <w:rsid w:val="6CF5206D"/>
    <w:rsid w:val="6CF58465"/>
    <w:rsid w:val="6CF9D729"/>
    <w:rsid w:val="6D010B42"/>
    <w:rsid w:val="6D196C7D"/>
    <w:rsid w:val="6D2009DB"/>
    <w:rsid w:val="6D2281E7"/>
    <w:rsid w:val="6D3D89C5"/>
    <w:rsid w:val="6D4D05AE"/>
    <w:rsid w:val="6D546C39"/>
    <w:rsid w:val="6D5E2E53"/>
    <w:rsid w:val="6D6B514F"/>
    <w:rsid w:val="6D7544EE"/>
    <w:rsid w:val="6D7ED0D0"/>
    <w:rsid w:val="6D8EBE88"/>
    <w:rsid w:val="6D9418C9"/>
    <w:rsid w:val="6D9A3F4D"/>
    <w:rsid w:val="6D9B6062"/>
    <w:rsid w:val="6D9D8FFE"/>
    <w:rsid w:val="6DABF6CD"/>
    <w:rsid w:val="6DAF3587"/>
    <w:rsid w:val="6DB56EC8"/>
    <w:rsid w:val="6DCBAFA3"/>
    <w:rsid w:val="6DCDBB34"/>
    <w:rsid w:val="6DD2E44A"/>
    <w:rsid w:val="6DEB28E5"/>
    <w:rsid w:val="6DED4731"/>
    <w:rsid w:val="6DF521AB"/>
    <w:rsid w:val="6E09AF18"/>
    <w:rsid w:val="6E144168"/>
    <w:rsid w:val="6E448D19"/>
    <w:rsid w:val="6E55BA47"/>
    <w:rsid w:val="6E5E3082"/>
    <w:rsid w:val="6E666EA0"/>
    <w:rsid w:val="6E7858D8"/>
    <w:rsid w:val="6E870B5E"/>
    <w:rsid w:val="6EAE9750"/>
    <w:rsid w:val="6ECB3E7A"/>
    <w:rsid w:val="6ED805DF"/>
    <w:rsid w:val="6EDA615D"/>
    <w:rsid w:val="6EE0DAB9"/>
    <w:rsid w:val="6EE12D98"/>
    <w:rsid w:val="6EE2F416"/>
    <w:rsid w:val="6EF7A2B0"/>
    <w:rsid w:val="6EF7C544"/>
    <w:rsid w:val="6F0399F5"/>
    <w:rsid w:val="6F0434DF"/>
    <w:rsid w:val="6F16C482"/>
    <w:rsid w:val="6F229BAD"/>
    <w:rsid w:val="6F255252"/>
    <w:rsid w:val="6F25A5EB"/>
    <w:rsid w:val="6F28C803"/>
    <w:rsid w:val="6F310E8A"/>
    <w:rsid w:val="6F3370E4"/>
    <w:rsid w:val="6F553A42"/>
    <w:rsid w:val="6F5941CA"/>
    <w:rsid w:val="6F6DEED6"/>
    <w:rsid w:val="6F736E53"/>
    <w:rsid w:val="6F764EEC"/>
    <w:rsid w:val="6F818051"/>
    <w:rsid w:val="6F86D1C8"/>
    <w:rsid w:val="6F8FBA06"/>
    <w:rsid w:val="6F99A9FE"/>
    <w:rsid w:val="6F9E29FF"/>
    <w:rsid w:val="6FAF1485"/>
    <w:rsid w:val="6FD2C3BB"/>
    <w:rsid w:val="6FD87125"/>
    <w:rsid w:val="6FE0227A"/>
    <w:rsid w:val="6FE20C9D"/>
    <w:rsid w:val="6FE7992C"/>
    <w:rsid w:val="6FF72945"/>
    <w:rsid w:val="6FFA366C"/>
    <w:rsid w:val="6FFD4AF2"/>
    <w:rsid w:val="700021D8"/>
    <w:rsid w:val="702A8610"/>
    <w:rsid w:val="705D7AE8"/>
    <w:rsid w:val="705FFA01"/>
    <w:rsid w:val="708AC998"/>
    <w:rsid w:val="70C6D9B0"/>
    <w:rsid w:val="70CC583B"/>
    <w:rsid w:val="70CF703B"/>
    <w:rsid w:val="70F36EB8"/>
    <w:rsid w:val="711AE764"/>
    <w:rsid w:val="711CE9D6"/>
    <w:rsid w:val="7122A229"/>
    <w:rsid w:val="7129A229"/>
    <w:rsid w:val="7129DEB5"/>
    <w:rsid w:val="7137DA31"/>
    <w:rsid w:val="716837EE"/>
    <w:rsid w:val="71686745"/>
    <w:rsid w:val="716D6547"/>
    <w:rsid w:val="71705BD4"/>
    <w:rsid w:val="71721707"/>
    <w:rsid w:val="7173A3C4"/>
    <w:rsid w:val="71752E98"/>
    <w:rsid w:val="717A8778"/>
    <w:rsid w:val="718BCABD"/>
    <w:rsid w:val="718FBBDB"/>
    <w:rsid w:val="71957360"/>
    <w:rsid w:val="719B7764"/>
    <w:rsid w:val="71B43A27"/>
    <w:rsid w:val="71E56338"/>
    <w:rsid w:val="71EA4F39"/>
    <w:rsid w:val="72135355"/>
    <w:rsid w:val="721581B3"/>
    <w:rsid w:val="7231FD61"/>
    <w:rsid w:val="724D386F"/>
    <w:rsid w:val="7258BB96"/>
    <w:rsid w:val="72921057"/>
    <w:rsid w:val="72B07F7E"/>
    <w:rsid w:val="72C331A4"/>
    <w:rsid w:val="72C94B59"/>
    <w:rsid w:val="72DC87B0"/>
    <w:rsid w:val="72DE032F"/>
    <w:rsid w:val="72F8E2AD"/>
    <w:rsid w:val="730F42E9"/>
    <w:rsid w:val="73123B6F"/>
    <w:rsid w:val="733F7969"/>
    <w:rsid w:val="734FD0BF"/>
    <w:rsid w:val="73685049"/>
    <w:rsid w:val="7384B774"/>
    <w:rsid w:val="7389F6E3"/>
    <w:rsid w:val="738E1651"/>
    <w:rsid w:val="738FAA7B"/>
    <w:rsid w:val="739988B8"/>
    <w:rsid w:val="73A594F0"/>
    <w:rsid w:val="73CC5F2B"/>
    <w:rsid w:val="73CE2EFA"/>
    <w:rsid w:val="73FA10CB"/>
    <w:rsid w:val="740CE8BC"/>
    <w:rsid w:val="74215BE0"/>
    <w:rsid w:val="74288EFC"/>
    <w:rsid w:val="74337088"/>
    <w:rsid w:val="743F735F"/>
    <w:rsid w:val="7470465F"/>
    <w:rsid w:val="7478B2FA"/>
    <w:rsid w:val="748C356A"/>
    <w:rsid w:val="74A646C5"/>
    <w:rsid w:val="74A690BF"/>
    <w:rsid w:val="74B84987"/>
    <w:rsid w:val="74D95B79"/>
    <w:rsid w:val="74F88726"/>
    <w:rsid w:val="74FAC0EA"/>
    <w:rsid w:val="74FFF870"/>
    <w:rsid w:val="75145C81"/>
    <w:rsid w:val="752A2E9C"/>
    <w:rsid w:val="752A575B"/>
    <w:rsid w:val="75342BB5"/>
    <w:rsid w:val="75446390"/>
    <w:rsid w:val="7544F7F0"/>
    <w:rsid w:val="7547FC0C"/>
    <w:rsid w:val="7555B8E3"/>
    <w:rsid w:val="75590E98"/>
    <w:rsid w:val="7583CF64"/>
    <w:rsid w:val="75A2F2B1"/>
    <w:rsid w:val="75B19346"/>
    <w:rsid w:val="75D35059"/>
    <w:rsid w:val="75D43A7F"/>
    <w:rsid w:val="75DBD34A"/>
    <w:rsid w:val="75DE031A"/>
    <w:rsid w:val="75DFA6ED"/>
    <w:rsid w:val="75E24102"/>
    <w:rsid w:val="75E6272D"/>
    <w:rsid w:val="75E7C352"/>
    <w:rsid w:val="7627AD19"/>
    <w:rsid w:val="7637263F"/>
    <w:rsid w:val="764E6F65"/>
    <w:rsid w:val="76666EF7"/>
    <w:rsid w:val="7667F3BC"/>
    <w:rsid w:val="76755D76"/>
    <w:rsid w:val="76B4132D"/>
    <w:rsid w:val="76CAAA77"/>
    <w:rsid w:val="76CF00C9"/>
    <w:rsid w:val="76FA84FC"/>
    <w:rsid w:val="770B6DEB"/>
    <w:rsid w:val="771BB26D"/>
    <w:rsid w:val="772A166A"/>
    <w:rsid w:val="772CBD77"/>
    <w:rsid w:val="774D2AED"/>
    <w:rsid w:val="775187F1"/>
    <w:rsid w:val="77795A23"/>
    <w:rsid w:val="77C14AC9"/>
    <w:rsid w:val="77D0F692"/>
    <w:rsid w:val="77D1A764"/>
    <w:rsid w:val="77DC07BE"/>
    <w:rsid w:val="77E27D7A"/>
    <w:rsid w:val="78162396"/>
    <w:rsid w:val="782AEB0E"/>
    <w:rsid w:val="7841CCFE"/>
    <w:rsid w:val="78463A6A"/>
    <w:rsid w:val="7846A106"/>
    <w:rsid w:val="7851EFE8"/>
    <w:rsid w:val="7858531E"/>
    <w:rsid w:val="78603D7B"/>
    <w:rsid w:val="7862EE96"/>
    <w:rsid w:val="7868082B"/>
    <w:rsid w:val="786BA735"/>
    <w:rsid w:val="788FEAA9"/>
    <w:rsid w:val="7895AA31"/>
    <w:rsid w:val="78AAC826"/>
    <w:rsid w:val="78B7387D"/>
    <w:rsid w:val="78F3F8FA"/>
    <w:rsid w:val="79090FB4"/>
    <w:rsid w:val="79124B16"/>
    <w:rsid w:val="7916E13E"/>
    <w:rsid w:val="79223FAF"/>
    <w:rsid w:val="7925EF71"/>
    <w:rsid w:val="792CCC6C"/>
    <w:rsid w:val="794A75B3"/>
    <w:rsid w:val="79617BE3"/>
    <w:rsid w:val="79656842"/>
    <w:rsid w:val="796A1314"/>
    <w:rsid w:val="797E472B"/>
    <w:rsid w:val="7985DF0A"/>
    <w:rsid w:val="79872412"/>
    <w:rsid w:val="798F5C80"/>
    <w:rsid w:val="79A1A466"/>
    <w:rsid w:val="79A6DF7F"/>
    <w:rsid w:val="79AFAC42"/>
    <w:rsid w:val="79BB676D"/>
    <w:rsid w:val="79CAAB39"/>
    <w:rsid w:val="79E5BC8A"/>
    <w:rsid w:val="7A13CDF1"/>
    <w:rsid w:val="7A267174"/>
    <w:rsid w:val="7A2A3BBC"/>
    <w:rsid w:val="7A33E988"/>
    <w:rsid w:val="7A3A12E2"/>
    <w:rsid w:val="7A5F8879"/>
    <w:rsid w:val="7A62467F"/>
    <w:rsid w:val="7A6F8115"/>
    <w:rsid w:val="7A91D28F"/>
    <w:rsid w:val="7A943800"/>
    <w:rsid w:val="7A98FA9C"/>
    <w:rsid w:val="7AA38D7F"/>
    <w:rsid w:val="7AAFF69B"/>
    <w:rsid w:val="7AB80174"/>
    <w:rsid w:val="7AB9E5FE"/>
    <w:rsid w:val="7AC43091"/>
    <w:rsid w:val="7AEDB96F"/>
    <w:rsid w:val="7AF3653C"/>
    <w:rsid w:val="7B123F19"/>
    <w:rsid w:val="7B1B2EE0"/>
    <w:rsid w:val="7B202735"/>
    <w:rsid w:val="7B2067A7"/>
    <w:rsid w:val="7B352B4A"/>
    <w:rsid w:val="7B38A78B"/>
    <w:rsid w:val="7B502DCD"/>
    <w:rsid w:val="7B602931"/>
    <w:rsid w:val="7B62FE79"/>
    <w:rsid w:val="7B69B5B7"/>
    <w:rsid w:val="7B733530"/>
    <w:rsid w:val="7B7350A5"/>
    <w:rsid w:val="7B73BCEC"/>
    <w:rsid w:val="7B75B697"/>
    <w:rsid w:val="7B7CE317"/>
    <w:rsid w:val="7B86CD60"/>
    <w:rsid w:val="7B86DA99"/>
    <w:rsid w:val="7B874DF3"/>
    <w:rsid w:val="7BA6D534"/>
    <w:rsid w:val="7BDCA74B"/>
    <w:rsid w:val="7BE1651A"/>
    <w:rsid w:val="7BF834FE"/>
    <w:rsid w:val="7BF83CAD"/>
    <w:rsid w:val="7C2F849A"/>
    <w:rsid w:val="7C3701C6"/>
    <w:rsid w:val="7C3AB59D"/>
    <w:rsid w:val="7C481E4A"/>
    <w:rsid w:val="7C4A3FB3"/>
    <w:rsid w:val="7C56463E"/>
    <w:rsid w:val="7C5BAEBB"/>
    <w:rsid w:val="7C6BAD7C"/>
    <w:rsid w:val="7C743D51"/>
    <w:rsid w:val="7C7DA6EE"/>
    <w:rsid w:val="7C8A1992"/>
    <w:rsid w:val="7C92B84B"/>
    <w:rsid w:val="7CC0895C"/>
    <w:rsid w:val="7CC669A4"/>
    <w:rsid w:val="7CC85FC5"/>
    <w:rsid w:val="7CD246D6"/>
    <w:rsid w:val="7CDF4572"/>
    <w:rsid w:val="7CE2D4DD"/>
    <w:rsid w:val="7CE68D46"/>
    <w:rsid w:val="7CE78FC3"/>
    <w:rsid w:val="7CF87023"/>
    <w:rsid w:val="7D09D1F0"/>
    <w:rsid w:val="7D177CAD"/>
    <w:rsid w:val="7D1CB345"/>
    <w:rsid w:val="7D2F391C"/>
    <w:rsid w:val="7D3EA3FF"/>
    <w:rsid w:val="7D4427B1"/>
    <w:rsid w:val="7D67211D"/>
    <w:rsid w:val="7D6D1C8D"/>
    <w:rsid w:val="7D96D1AC"/>
    <w:rsid w:val="7D9AA2A5"/>
    <w:rsid w:val="7DC4F483"/>
    <w:rsid w:val="7DC7DC8C"/>
    <w:rsid w:val="7DCE9146"/>
    <w:rsid w:val="7DDD0806"/>
    <w:rsid w:val="7DDE9E13"/>
    <w:rsid w:val="7DF00677"/>
    <w:rsid w:val="7DF979E9"/>
    <w:rsid w:val="7E07EA5E"/>
    <w:rsid w:val="7E091687"/>
    <w:rsid w:val="7E2701F2"/>
    <w:rsid w:val="7E273DA5"/>
    <w:rsid w:val="7E57307F"/>
    <w:rsid w:val="7E5BD03C"/>
    <w:rsid w:val="7E6B74D5"/>
    <w:rsid w:val="7E76847E"/>
    <w:rsid w:val="7E7A8385"/>
    <w:rsid w:val="7E936D38"/>
    <w:rsid w:val="7E93F366"/>
    <w:rsid w:val="7EC126BE"/>
    <w:rsid w:val="7EC8054B"/>
    <w:rsid w:val="7ECF5189"/>
    <w:rsid w:val="7EDBDF54"/>
    <w:rsid w:val="7EF00082"/>
    <w:rsid w:val="7EF6C1E6"/>
    <w:rsid w:val="7F166A73"/>
    <w:rsid w:val="7F28DB0E"/>
    <w:rsid w:val="7F41A3BE"/>
    <w:rsid w:val="7F420829"/>
    <w:rsid w:val="7F7650C0"/>
    <w:rsid w:val="7FAEC6E8"/>
    <w:rsid w:val="7FB9E7F3"/>
    <w:rsid w:val="7FCC5CAE"/>
    <w:rsid w:val="7FDC6C48"/>
    <w:rsid w:val="7FEC782F"/>
    <w:rsid w:val="7FEFE345"/>
    <w:rsid w:val="7FF0AE93"/>
    <w:rsid w:val="7FF9DC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07283242"/>
  <w15:chartTrackingRefBased/>
  <w15:docId w15:val="{7CBD23C8-C363-43EE-A27D-B91FB0E3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3373"/>
    <w:rPr>
      <w:rFonts w:ascii="Arial" w:hAnsi="Arial"/>
      <w:color w:val="000000" w:themeColor="text1"/>
      <w:sz w:val="20"/>
    </w:rPr>
  </w:style>
  <w:style w:type="paragraph" w:styleId="Heading1">
    <w:name w:val="heading 1"/>
    <w:basedOn w:val="Normal"/>
    <w:next w:val="Normal"/>
    <w:link w:val="Heading1Char"/>
    <w:uiPriority w:val="9"/>
    <w:qFormat/>
    <w:rsid w:val="00237F84"/>
    <w:pPr>
      <w:keepNext/>
      <w:keepLines/>
      <w:pBdr>
        <w:bottom w:val="single" w:sz="48"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AB081A"/>
    <w:pPr>
      <w:keepNext/>
      <w:keepLines/>
      <w:spacing w:before="280" w:line="240" w:lineRule="auto"/>
      <w:outlineLvl w:val="1"/>
    </w:pPr>
    <w:rPr>
      <w:rFonts w:eastAsiaTheme="majorEastAsia" w:cstheme="majorBidi"/>
      <w:color w:val="007A6D" w:themeColor="accent4"/>
      <w:sz w:val="32"/>
      <w:szCs w:val="28"/>
    </w:rPr>
  </w:style>
  <w:style w:type="paragraph" w:styleId="Heading3">
    <w:name w:val="heading 3"/>
    <w:basedOn w:val="Normal"/>
    <w:next w:val="Normal"/>
    <w:link w:val="Heading3Char"/>
    <w:uiPriority w:val="9"/>
    <w:unhideWhenUsed/>
    <w:qFormat/>
    <w:rsid w:val="00AB081A"/>
    <w:pPr>
      <w:keepNext/>
      <w:keepLines/>
      <w:spacing w:before="80" w:after="0" w:line="240" w:lineRule="auto"/>
      <w:outlineLvl w:val="2"/>
    </w:pPr>
    <w:rPr>
      <w:rFonts w:eastAsiaTheme="majorEastAsia" w:cstheme="majorBidi"/>
      <w:sz w:val="28"/>
      <w:szCs w:val="26"/>
    </w:rPr>
  </w:style>
  <w:style w:type="paragraph" w:styleId="Heading4">
    <w:name w:val="heading 4"/>
    <w:basedOn w:val="Normal"/>
    <w:next w:val="Normal"/>
    <w:link w:val="Heading4Char"/>
    <w:uiPriority w:val="9"/>
    <w:unhideWhenUsed/>
    <w:qFormat/>
    <w:rsid w:val="00AB081A"/>
    <w:pPr>
      <w:keepNext/>
      <w:keepLines/>
      <w:spacing w:before="80" w:after="0"/>
      <w:outlineLvl w:val="3"/>
    </w:pPr>
    <w:rPr>
      <w:rFonts w:eastAsiaTheme="majorEastAsia" w:cstheme="majorBidi"/>
      <w:b/>
      <w:sz w:val="24"/>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F84"/>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AB081A"/>
    <w:rPr>
      <w:rFonts w:ascii="Arial" w:eastAsiaTheme="majorEastAsia" w:hAnsi="Arial" w:cstheme="majorBidi"/>
      <w:color w:val="007A6D" w:themeColor="accent4"/>
      <w:sz w:val="32"/>
      <w:szCs w:val="28"/>
    </w:rPr>
  </w:style>
  <w:style w:type="character" w:customStyle="1" w:styleId="Heading3Char">
    <w:name w:val="Heading 3 Char"/>
    <w:basedOn w:val="DefaultParagraphFont"/>
    <w:link w:val="Heading3"/>
    <w:uiPriority w:val="9"/>
    <w:rsid w:val="00AB081A"/>
    <w:rPr>
      <w:rFonts w:ascii="Arial" w:eastAsiaTheme="majorEastAsia" w:hAnsi="Arial" w:cstheme="majorBidi"/>
      <w:sz w:val="28"/>
      <w:szCs w:val="26"/>
    </w:rPr>
  </w:style>
  <w:style w:type="character" w:customStyle="1" w:styleId="Heading4Char">
    <w:name w:val="Heading 4 Char"/>
    <w:basedOn w:val="DefaultParagraphFont"/>
    <w:link w:val="Heading4"/>
    <w:uiPriority w:val="9"/>
    <w:rsid w:val="00AB081A"/>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uiPriority w:val="10"/>
    <w:qFormat/>
    <w:rsid w:val="00B66E29"/>
    <w:pPr>
      <w:spacing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B66E29"/>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A37A3C"/>
    <w:pPr>
      <w:numPr>
        <w:ilvl w:val="1"/>
      </w:numPr>
      <w:spacing w:before="240" w:after="240" w:line="240" w:lineRule="auto"/>
    </w:pPr>
    <w:rPr>
      <w:rFonts w:eastAsiaTheme="majorEastAsia" w:cstheme="majorBidi"/>
      <w:sz w:val="32"/>
      <w:szCs w:val="30"/>
    </w:rPr>
  </w:style>
  <w:style w:type="character" w:customStyle="1" w:styleId="SubtitleChar">
    <w:name w:val="Subtitle Char"/>
    <w:basedOn w:val="DefaultParagraphFont"/>
    <w:link w:val="Subtitle"/>
    <w:uiPriority w:val="11"/>
    <w:rsid w:val="00A37A3C"/>
    <w:rPr>
      <w:rFonts w:ascii="Arial" w:eastAsiaTheme="majorEastAsia" w:hAnsi="Arial" w:cstheme="majorBidi"/>
      <w:sz w:val="32"/>
      <w:szCs w:val="30"/>
    </w:rPr>
  </w:style>
  <w:style w:type="character" w:styleId="Strong">
    <w:name w:val="Strong"/>
    <w:basedOn w:val="DefaultParagraphFont"/>
    <w:uiPriority w:val="22"/>
    <w:qFormat/>
    <w:rsid w:val="00297AC3"/>
    <w:rPr>
      <w:rFonts w:ascii="Arial" w:hAnsi="Arial"/>
      <w:b/>
      <w:bCs/>
      <w:sz w:val="22"/>
    </w:rPr>
  </w:style>
  <w:style w:type="character" w:styleId="Emphasis">
    <w:name w:val="Emphasis"/>
    <w:basedOn w:val="DefaultParagraphFont"/>
    <w:uiPriority w:val="20"/>
    <w:qFormat/>
    <w:rsid w:val="005D3352"/>
    <w:rPr>
      <w:i/>
      <w:iCs/>
    </w:rPr>
  </w:style>
  <w:style w:type="paragraph" w:styleId="NoSpacing">
    <w:name w:val="No Spacing"/>
    <w:link w:val="NoSpacingChar"/>
    <w:uiPriority w:val="1"/>
    <w:qFormat/>
    <w:rsid w:val="00655509"/>
    <w:pPr>
      <w:spacing w:after="0" w:line="240" w:lineRule="auto"/>
    </w:pPr>
    <w:rPr>
      <w:rFonts w:ascii="Arial" w:hAnsi="Arial"/>
    </w:rPr>
  </w:style>
  <w:style w:type="paragraph" w:styleId="Quote">
    <w:name w:val="Quote"/>
    <w:aliases w:val="PSC - Secondary quote"/>
    <w:basedOn w:val="Normal"/>
    <w:next w:val="Normal"/>
    <w:link w:val="QuoteChar"/>
    <w:uiPriority w:val="29"/>
    <w:qFormat/>
    <w:rsid w:val="00297AC3"/>
    <w:pPr>
      <w:spacing w:before="240" w:after="240" w:line="252" w:lineRule="auto"/>
      <w:ind w:left="720" w:right="864"/>
    </w:pPr>
    <w:rPr>
      <w:i/>
      <w:iCs/>
      <w:color w:val="007A6D" w:themeColor="accent4"/>
      <w:sz w:val="24"/>
    </w:rPr>
  </w:style>
  <w:style w:type="character" w:customStyle="1" w:styleId="QuoteChar">
    <w:name w:val="Quote Char"/>
    <w:aliases w:val="PSC - Secondary quote Char"/>
    <w:basedOn w:val="DefaultParagraphFont"/>
    <w:link w:val="Quote"/>
    <w:uiPriority w:val="29"/>
    <w:rsid w:val="00297AC3"/>
    <w:rPr>
      <w:rFonts w:ascii="Arial" w:hAnsi="Arial"/>
      <w:i/>
      <w:iCs/>
      <w:color w:val="007A6D" w:themeColor="accent4"/>
      <w:sz w:val="24"/>
    </w:rPr>
  </w:style>
  <w:style w:type="paragraph" w:customStyle="1" w:styleId="PSC-BodyReversed">
    <w:name w:val="PSC - Body Reversed"/>
    <w:basedOn w:val="Normal"/>
    <w:qFormat/>
    <w:rsid w:val="001B75EC"/>
    <w:rPr>
      <w:color w:val="FFFFFF" w:themeColor="background1"/>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qFormat/>
    <w:rsid w:val="00BE596A"/>
    <w:pPr>
      <w:spacing w:before="240"/>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1"/>
    <w:qFormat/>
    <w:rsid w:val="003842B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6A180641"/>
    <w:pPr>
      <w:numPr>
        <w:numId w:val="1"/>
      </w:numPr>
      <w:spacing w:after="80"/>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1"/>
    <w:rsid w:val="003842B2"/>
    <w:rPr>
      <w:rFonts w:ascii="Arial" w:hAnsi="Arial"/>
      <w:sz w:val="20"/>
    </w:rPr>
  </w:style>
  <w:style w:type="character" w:customStyle="1" w:styleId="Bullets1Char">
    <w:name w:val="Bullets 1 Char"/>
    <w:basedOn w:val="ListParagraphChar"/>
    <w:link w:val="Bullets1"/>
    <w:rsid w:val="008337BD"/>
    <w:rPr>
      <w:rFonts w:ascii="Arial" w:eastAsiaTheme="majorEastAsia" w:hAnsi="Arial"/>
      <w:sz w:val="20"/>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F60F05"/>
    <w:rPr>
      <w:b/>
      <w:color w:val="000000" w:themeColor="text1"/>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080F26"/>
    <w:pPr>
      <w:tabs>
        <w:tab w:val="right" w:leader="dot" w:pos="9628"/>
      </w:tabs>
      <w:spacing w:after="100"/>
    </w:pPr>
    <w:rPr>
      <w:b/>
    </w:rPr>
  </w:style>
  <w:style w:type="paragraph" w:styleId="TOC2">
    <w:name w:val="toc 2"/>
    <w:basedOn w:val="Normal"/>
    <w:next w:val="Normal"/>
    <w:autoRedefine/>
    <w:uiPriority w:val="39"/>
    <w:unhideWhenUsed/>
    <w:rsid w:val="00B53A1A"/>
    <w:pPr>
      <w:tabs>
        <w:tab w:val="right" w:leader="dot" w:pos="9628"/>
      </w:tabs>
      <w:ind w:left="357"/>
    </w:pPr>
  </w:style>
  <w:style w:type="paragraph" w:styleId="TOC3">
    <w:name w:val="toc 3"/>
    <w:basedOn w:val="Normal"/>
    <w:next w:val="Normal"/>
    <w:autoRedefine/>
    <w:uiPriority w:val="39"/>
    <w:unhideWhenUsed/>
    <w:rsid w:val="00B53A1A"/>
    <w:pPr>
      <w:ind w:left="720"/>
    </w:pPr>
  </w:style>
  <w:style w:type="paragraph" w:styleId="BodyText">
    <w:name w:val="Body Text"/>
    <w:basedOn w:val="Normal"/>
    <w:link w:val="BodyTextChar"/>
    <w:uiPriority w:val="1"/>
    <w:qFormat/>
    <w:rsid w:val="00407780"/>
    <w:pPr>
      <w:spacing w:before="120" w:line="276"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407780"/>
    <w:rPr>
      <w:rFonts w:ascii="Arial" w:eastAsia="Times New Roman" w:hAnsi="Arial" w:cs="Times New Roman"/>
      <w:sz w:val="22"/>
      <w:szCs w:val="24"/>
      <w:lang w:eastAsia="en-AU"/>
    </w:rPr>
  </w:style>
  <w:style w:type="table" w:styleId="TableGrid">
    <w:name w:val="Table Grid"/>
    <w:basedOn w:val="TableNormal"/>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BodyText"/>
    <w:link w:val="BodystrongChar"/>
    <w:qFormat/>
    <w:rsid w:val="00D940C5"/>
    <w:rPr>
      <w:b/>
    </w:rPr>
  </w:style>
  <w:style w:type="character" w:customStyle="1" w:styleId="BodystrongChar">
    <w:name w:val="Body strong Char"/>
    <w:basedOn w:val="DefaultParagraphFont"/>
    <w:link w:val="Bodystrong"/>
    <w:rsid w:val="00D940C5"/>
    <w:rPr>
      <w:rFonts w:ascii="Arial" w:hAnsi="Arial"/>
      <w:b/>
      <w:sz w:val="18"/>
    </w:rPr>
  </w:style>
  <w:style w:type="paragraph" w:customStyle="1" w:styleId="Bullets2">
    <w:name w:val="Bullets 2"/>
    <w:basedOn w:val="Bullets1"/>
    <w:link w:val="Bullets2Char"/>
    <w:qFormat/>
    <w:rsid w:val="6A180641"/>
    <w:pPr>
      <w:numPr>
        <w:ilvl w:val="1"/>
      </w:numPr>
    </w:pPr>
  </w:style>
  <w:style w:type="paragraph" w:customStyle="1" w:styleId="Numberedlists">
    <w:name w:val="Numbered lists"/>
    <w:basedOn w:val="ListParagraph"/>
    <w:link w:val="NumberedlistsChar"/>
    <w:qFormat/>
    <w:rsid w:val="00747D59"/>
    <w:pPr>
      <w:numPr>
        <w:numId w:val="2"/>
      </w:numPr>
      <w:ind w:left="357" w:hanging="357"/>
    </w:pPr>
    <w:rPr>
      <w:rFonts w:eastAsiaTheme="majorEastAsia"/>
    </w:rPr>
  </w:style>
  <w:style w:type="character" w:customStyle="1" w:styleId="Bullets2Char">
    <w:name w:val="Bullets 2 Char"/>
    <w:basedOn w:val="Bullets1Char"/>
    <w:link w:val="Bullets2"/>
    <w:rsid w:val="00087FC1"/>
    <w:rPr>
      <w:rFonts w:ascii="Arial" w:eastAsiaTheme="majorEastAsia" w:hAnsi="Arial"/>
      <w:sz w:val="20"/>
    </w:rPr>
  </w:style>
  <w:style w:type="character" w:customStyle="1" w:styleId="NumberedlistsChar">
    <w:name w:val="Numbered lists Char"/>
    <w:basedOn w:val="ListParagraphChar"/>
    <w:link w:val="Numberedlists"/>
    <w:rsid w:val="00747D59"/>
    <w:rPr>
      <w:rFonts w:ascii="Arial" w:eastAsiaTheme="majorEastAsia" w:hAnsi="Arial"/>
      <w:sz w:val="20"/>
    </w:rPr>
  </w:style>
  <w:style w:type="character" w:styleId="PageNumber">
    <w:name w:val="page number"/>
    <w:basedOn w:val="DefaultParagraphFont"/>
    <w:unhideWhenUsed/>
    <w:rsid w:val="00272ECB"/>
  </w:style>
  <w:style w:type="paragraph" w:customStyle="1" w:styleId="PSC-Body">
    <w:name w:val="PSC - Body"/>
    <w:basedOn w:val="Normal"/>
    <w:qFormat/>
    <w:rsid w:val="00F703E2"/>
    <w:pPr>
      <w:spacing w:before="60"/>
    </w:pPr>
    <w:rPr>
      <w:szCs w:val="22"/>
    </w:rPr>
  </w:style>
  <w:style w:type="paragraph" w:customStyle="1" w:styleId="PSC-PrimaryQuote">
    <w:name w:val="PSC - Primary Quote"/>
    <w:basedOn w:val="Normal"/>
    <w:qFormat/>
    <w:rsid w:val="001B75EC"/>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8"/>
      <w:szCs w:val="28"/>
    </w:rPr>
  </w:style>
  <w:style w:type="paragraph" w:customStyle="1" w:styleId="PSC-Bullets1">
    <w:name w:val="PSC - Bullets #1"/>
    <w:basedOn w:val="ListParagraph"/>
    <w:link w:val="PSC-Bullets1Char"/>
    <w:qFormat/>
    <w:rsid w:val="0020510E"/>
    <w:pPr>
      <w:numPr>
        <w:numId w:val="3"/>
      </w:numPr>
      <w:spacing w:line="240" w:lineRule="auto"/>
      <w:ind w:left="357" w:hanging="357"/>
    </w:pPr>
    <w:rPr>
      <w:rFonts w:eastAsiaTheme="minorHAnsi" w:cs="Arial"/>
      <w:szCs w:val="24"/>
    </w:rPr>
  </w:style>
  <w:style w:type="paragraph" w:customStyle="1" w:styleId="PSC-Bullets2">
    <w:name w:val="PSC - Bullets #2"/>
    <w:basedOn w:val="ListParagraph"/>
    <w:link w:val="PSC-Bullets2Char"/>
    <w:qFormat/>
    <w:rsid w:val="001A2B74"/>
    <w:pPr>
      <w:numPr>
        <w:numId w:val="4"/>
      </w:numPr>
      <w:spacing w:line="240" w:lineRule="auto"/>
      <w:ind w:left="993" w:hanging="357"/>
    </w:pPr>
    <w:rPr>
      <w:rFonts w:eastAsiaTheme="minorHAnsi" w:cs="Arial"/>
      <w:szCs w:val="24"/>
    </w:rPr>
  </w:style>
  <w:style w:type="paragraph" w:customStyle="1" w:styleId="PSC-Bullets3">
    <w:name w:val="PSC - Bullets #3"/>
    <w:basedOn w:val="ListParagraph"/>
    <w:link w:val="PSC-Bullets3Char"/>
    <w:qFormat/>
    <w:rsid w:val="008C7567"/>
    <w:pPr>
      <w:numPr>
        <w:numId w:val="5"/>
      </w:numPr>
      <w:spacing w:after="0" w:line="240" w:lineRule="auto"/>
    </w:pPr>
    <w:rPr>
      <w:rFonts w:eastAsiaTheme="minorHAnsi" w:cs="Arial"/>
      <w:szCs w:val="24"/>
    </w:rPr>
  </w:style>
  <w:style w:type="paragraph" w:customStyle="1" w:styleId="PSCBodystrong">
    <w:name w:val="PSC Body strong"/>
    <w:basedOn w:val="Normal"/>
    <w:qFormat/>
    <w:rsid w:val="008C7567"/>
    <w:rPr>
      <w:b/>
      <w:szCs w:val="22"/>
    </w:rPr>
  </w:style>
  <w:style w:type="paragraph" w:customStyle="1" w:styleId="PSCHeading2">
    <w:name w:val="PSC Heading #2"/>
    <w:basedOn w:val="Heading2"/>
    <w:qFormat/>
    <w:rsid w:val="00A74820"/>
    <w:pPr>
      <w:spacing w:before="120"/>
    </w:pPr>
    <w:rPr>
      <w:color w:val="auto"/>
      <w:sz w:val="24"/>
    </w:rPr>
  </w:style>
  <w:style w:type="paragraph" w:customStyle="1" w:styleId="PSCHeading3">
    <w:name w:val="PSC Heading #3"/>
    <w:basedOn w:val="Heading3"/>
    <w:qFormat/>
    <w:rsid w:val="00EA0E23"/>
    <w:pPr>
      <w:spacing w:before="120" w:after="120"/>
    </w:pPr>
    <w:rPr>
      <w:b/>
      <w:bCs/>
      <w:sz w:val="20"/>
      <w:szCs w:val="24"/>
    </w:rPr>
  </w:style>
  <w:style w:type="paragraph" w:customStyle="1" w:styleId="PSCHeading4">
    <w:name w:val="PSC Heading #4"/>
    <w:basedOn w:val="Heading4"/>
    <w:qFormat/>
    <w:rsid w:val="008C7567"/>
  </w:style>
  <w:style w:type="paragraph" w:customStyle="1" w:styleId="PSCHeading1">
    <w:name w:val="PSC Heading #1"/>
    <w:basedOn w:val="Heading1"/>
    <w:qFormat/>
    <w:rsid w:val="007D49A7"/>
    <w:pPr>
      <w:pBdr>
        <w:bottom w:val="none" w:sz="0" w:space="0" w:color="auto"/>
      </w:pBdr>
      <w:spacing w:before="0" w:after="200"/>
    </w:pPr>
    <w:rPr>
      <w:sz w:val="28"/>
      <w:szCs w:val="40"/>
    </w:rPr>
  </w:style>
  <w:style w:type="paragraph" w:customStyle="1" w:styleId="ImprintPageText">
    <w:name w:val="Imprint Page Text"/>
    <w:basedOn w:val="Normal"/>
    <w:rsid w:val="00042389"/>
    <w:pPr>
      <w:keepNext/>
      <w:spacing w:line="276" w:lineRule="auto"/>
    </w:pPr>
    <w:rPr>
      <w:rFonts w:eastAsia="Times New Roman" w:cs="Arial"/>
      <w:color w:val="000000"/>
      <w:w w:val="105"/>
      <w:sz w:val="16"/>
      <w:szCs w:val="18"/>
      <w:lang w:eastAsia="en-AU"/>
    </w:rPr>
  </w:style>
  <w:style w:type="character" w:styleId="CommentReference">
    <w:name w:val="annotation reference"/>
    <w:basedOn w:val="DefaultParagraphFont"/>
    <w:uiPriority w:val="99"/>
    <w:unhideWhenUsed/>
    <w:rsid w:val="00042389"/>
    <w:rPr>
      <w:sz w:val="16"/>
      <w:szCs w:val="16"/>
    </w:rPr>
  </w:style>
  <w:style w:type="paragraph" w:styleId="CommentText">
    <w:name w:val="annotation text"/>
    <w:basedOn w:val="Normal"/>
    <w:link w:val="CommentTextChar"/>
    <w:uiPriority w:val="99"/>
    <w:unhideWhenUsed/>
    <w:rsid w:val="00042389"/>
    <w:pPr>
      <w:spacing w:line="240" w:lineRule="auto"/>
    </w:pPr>
    <w:rPr>
      <w:szCs w:val="20"/>
    </w:rPr>
  </w:style>
  <w:style w:type="character" w:customStyle="1" w:styleId="CommentTextChar">
    <w:name w:val="Comment Text Char"/>
    <w:basedOn w:val="DefaultParagraphFont"/>
    <w:link w:val="CommentText"/>
    <w:uiPriority w:val="99"/>
    <w:rsid w:val="00042389"/>
    <w:rPr>
      <w:rFonts w:ascii="Arial" w:hAnsi="Arial"/>
      <w:sz w:val="20"/>
      <w:szCs w:val="20"/>
    </w:rPr>
  </w:style>
  <w:style w:type="paragraph" w:styleId="CommentSubject">
    <w:name w:val="annotation subject"/>
    <w:basedOn w:val="CommentText"/>
    <w:next w:val="CommentText"/>
    <w:link w:val="CommentSubjectChar"/>
    <w:unhideWhenUsed/>
    <w:rsid w:val="00042389"/>
    <w:rPr>
      <w:b/>
      <w:bCs/>
    </w:rPr>
  </w:style>
  <w:style w:type="character" w:customStyle="1" w:styleId="CommentSubjectChar">
    <w:name w:val="Comment Subject Char"/>
    <w:basedOn w:val="CommentTextChar"/>
    <w:link w:val="CommentSubject"/>
    <w:rsid w:val="00042389"/>
    <w:rPr>
      <w:rFonts w:ascii="Arial" w:hAnsi="Arial"/>
      <w:b/>
      <w:bCs/>
      <w:sz w:val="20"/>
      <w:szCs w:val="20"/>
    </w:rPr>
  </w:style>
  <w:style w:type="paragraph" w:customStyle="1" w:styleId="TableBullet">
    <w:name w:val="Table Bullet"/>
    <w:basedOn w:val="Normal"/>
    <w:rsid w:val="00042389"/>
    <w:pPr>
      <w:spacing w:before="60" w:after="40" w:line="240" w:lineRule="auto"/>
      <w:ind w:left="360" w:hanging="360"/>
    </w:pPr>
    <w:rPr>
      <w:rFonts w:eastAsia="MS Mincho" w:cs="Times New Roman"/>
      <w:szCs w:val="24"/>
    </w:rPr>
  </w:style>
  <w:style w:type="paragraph" w:styleId="FootnoteText">
    <w:name w:val="footnote text"/>
    <w:basedOn w:val="Normal"/>
    <w:link w:val="FootnoteTextChar"/>
    <w:uiPriority w:val="99"/>
    <w:semiHidden/>
    <w:unhideWhenUsed/>
    <w:rsid w:val="006E72E4"/>
    <w:pPr>
      <w:spacing w:after="0" w:line="240" w:lineRule="auto"/>
    </w:pPr>
    <w:rPr>
      <w:szCs w:val="20"/>
    </w:rPr>
  </w:style>
  <w:style w:type="character" w:customStyle="1" w:styleId="FootnoteTextChar">
    <w:name w:val="Footnote Text Char"/>
    <w:basedOn w:val="DefaultParagraphFont"/>
    <w:link w:val="FootnoteText"/>
    <w:uiPriority w:val="99"/>
    <w:semiHidden/>
    <w:rsid w:val="006E72E4"/>
    <w:rPr>
      <w:rFonts w:ascii="Arial" w:hAnsi="Arial"/>
      <w:sz w:val="20"/>
      <w:szCs w:val="20"/>
    </w:rPr>
  </w:style>
  <w:style w:type="character" w:styleId="FootnoteReference">
    <w:name w:val="footnote reference"/>
    <w:basedOn w:val="DefaultParagraphFont"/>
    <w:uiPriority w:val="99"/>
    <w:semiHidden/>
    <w:unhideWhenUsed/>
    <w:rsid w:val="006E72E4"/>
    <w:rPr>
      <w:vertAlign w:val="superscript"/>
    </w:rPr>
  </w:style>
  <w:style w:type="character" w:styleId="FollowedHyperlink">
    <w:name w:val="FollowedHyperlink"/>
    <w:basedOn w:val="DefaultParagraphFont"/>
    <w:uiPriority w:val="99"/>
    <w:semiHidden/>
    <w:unhideWhenUsed/>
    <w:rsid w:val="00D21038"/>
    <w:rPr>
      <w:color w:val="000000" w:themeColor="followedHyperlink"/>
      <w:u w:val="single"/>
    </w:rPr>
  </w:style>
  <w:style w:type="paragraph" w:customStyle="1" w:styleId="NoteIndent">
    <w:name w:val="Note Indent"/>
    <w:basedOn w:val="Normal"/>
    <w:uiPriority w:val="22"/>
    <w:qFormat/>
    <w:rsid w:val="001C0B56"/>
    <w:pPr>
      <w:numPr>
        <w:numId w:val="10"/>
      </w:numPr>
      <w:tabs>
        <w:tab w:val="left" w:pos="357"/>
      </w:tabs>
      <w:spacing w:before="60" w:after="60"/>
    </w:pPr>
    <w:rPr>
      <w:rFonts w:eastAsiaTheme="minorHAnsi"/>
      <w:sz w:val="16"/>
      <w:szCs w:val="18"/>
    </w:rPr>
  </w:style>
  <w:style w:type="character" w:customStyle="1" w:styleId="Italics">
    <w:name w:val="Italics"/>
    <w:basedOn w:val="DefaultParagraphFont"/>
    <w:uiPriority w:val="1"/>
    <w:qFormat/>
    <w:rsid w:val="001C0B56"/>
    <w:rPr>
      <w:i/>
    </w:rPr>
  </w:style>
  <w:style w:type="table" w:styleId="ListTable4-Accent1">
    <w:name w:val="List Table 4 Accent 1"/>
    <w:basedOn w:val="TableNormal"/>
    <w:uiPriority w:val="49"/>
    <w:rsid w:val="00BA593F"/>
    <w:pPr>
      <w:spacing w:after="0" w:line="240" w:lineRule="auto"/>
    </w:pPr>
    <w:tblPr>
      <w:tblStyleRowBandSize w:val="1"/>
      <w:tblStyleColBandSize w:val="1"/>
      <w:tblBorders>
        <w:top w:val="single" w:sz="4" w:space="0" w:color="9FDBCD" w:themeColor="accent1" w:themeTint="99"/>
        <w:left w:val="single" w:sz="4" w:space="0" w:color="9FDBCD" w:themeColor="accent1" w:themeTint="99"/>
        <w:bottom w:val="single" w:sz="4" w:space="0" w:color="9FDBCD" w:themeColor="accent1" w:themeTint="99"/>
        <w:right w:val="single" w:sz="4" w:space="0" w:color="9FDBCD" w:themeColor="accent1" w:themeTint="99"/>
        <w:insideH w:val="single" w:sz="4" w:space="0" w:color="9FDBCD" w:themeColor="accent1" w:themeTint="99"/>
      </w:tblBorders>
    </w:tblPr>
    <w:tblStylePr w:type="firstRow">
      <w:rPr>
        <w:b/>
        <w:bCs/>
        <w:color w:val="FFFFFF" w:themeColor="background1"/>
      </w:rPr>
      <w:tblPr/>
      <w:tcPr>
        <w:tcBorders>
          <w:top w:val="single" w:sz="4" w:space="0" w:color="60C3AD" w:themeColor="accent1"/>
          <w:left w:val="single" w:sz="4" w:space="0" w:color="60C3AD" w:themeColor="accent1"/>
          <w:bottom w:val="single" w:sz="4" w:space="0" w:color="60C3AD" w:themeColor="accent1"/>
          <w:right w:val="single" w:sz="4" w:space="0" w:color="60C3AD" w:themeColor="accent1"/>
          <w:insideH w:val="nil"/>
        </w:tcBorders>
        <w:shd w:val="clear" w:color="auto" w:fill="60C3AD" w:themeFill="accent1"/>
      </w:tcPr>
    </w:tblStylePr>
    <w:tblStylePr w:type="lastRow">
      <w:rPr>
        <w:b/>
        <w:bCs/>
      </w:rPr>
      <w:tblPr/>
      <w:tcPr>
        <w:tcBorders>
          <w:top w:val="doub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table" w:styleId="GridTable4-Accent2">
    <w:name w:val="Grid Table 4 Accent 2"/>
    <w:basedOn w:val="TableNormal"/>
    <w:uiPriority w:val="49"/>
    <w:rsid w:val="00BA593F"/>
    <w:pPr>
      <w:spacing w:after="0" w:line="240" w:lineRule="auto"/>
    </w:pPr>
    <w:tblPr>
      <w:tblStyleRowBandSize w:val="1"/>
      <w:tblStyleColBandSize w:val="1"/>
      <w:tblBorders>
        <w:top w:val="single" w:sz="4" w:space="0" w:color="C0E5DE" w:themeColor="accent2" w:themeTint="99"/>
        <w:left w:val="single" w:sz="4" w:space="0" w:color="C0E5DE" w:themeColor="accent2" w:themeTint="99"/>
        <w:bottom w:val="single" w:sz="4" w:space="0" w:color="C0E5DE" w:themeColor="accent2" w:themeTint="99"/>
        <w:right w:val="single" w:sz="4" w:space="0" w:color="C0E5DE" w:themeColor="accent2" w:themeTint="99"/>
        <w:insideH w:val="single" w:sz="4" w:space="0" w:color="C0E5DE" w:themeColor="accent2" w:themeTint="99"/>
        <w:insideV w:val="single" w:sz="4" w:space="0" w:color="C0E5DE" w:themeColor="accent2" w:themeTint="99"/>
      </w:tblBorders>
    </w:tblPr>
    <w:tblStylePr w:type="firstRow">
      <w:rPr>
        <w:b/>
        <w:bCs/>
        <w:color w:val="FFFFFF" w:themeColor="background1"/>
      </w:rPr>
      <w:tblPr/>
      <w:tcPr>
        <w:tcBorders>
          <w:top w:val="single" w:sz="4" w:space="0" w:color="97D5C9" w:themeColor="accent2"/>
          <w:left w:val="single" w:sz="4" w:space="0" w:color="97D5C9" w:themeColor="accent2"/>
          <w:bottom w:val="single" w:sz="4" w:space="0" w:color="97D5C9" w:themeColor="accent2"/>
          <w:right w:val="single" w:sz="4" w:space="0" w:color="97D5C9" w:themeColor="accent2"/>
          <w:insideH w:val="nil"/>
          <w:insideV w:val="nil"/>
        </w:tcBorders>
        <w:shd w:val="clear" w:color="auto" w:fill="97D5C9" w:themeFill="accent2"/>
      </w:tcPr>
    </w:tblStylePr>
    <w:tblStylePr w:type="lastRow">
      <w:rPr>
        <w:b/>
        <w:bCs/>
      </w:rPr>
      <w:tblPr/>
      <w:tcPr>
        <w:tcBorders>
          <w:top w:val="double" w:sz="4" w:space="0" w:color="97D5C9" w:themeColor="accent2"/>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paragraph" w:customStyle="1" w:styleId="Tablebulletpoints">
    <w:name w:val="Table bullet points"/>
    <w:basedOn w:val="Bullets1"/>
    <w:link w:val="TablebulletpointsChar"/>
    <w:uiPriority w:val="1"/>
    <w:qFormat/>
    <w:rsid w:val="6A180641"/>
    <w:pPr>
      <w:spacing w:before="120"/>
      <w:ind w:left="176" w:hanging="176"/>
    </w:pPr>
  </w:style>
  <w:style w:type="paragraph" w:customStyle="1" w:styleId="Tablebulletpointlist2">
    <w:name w:val="Table bullet point list 2"/>
    <w:basedOn w:val="PSC-Bullets3"/>
    <w:link w:val="Tablebulletpointlist2Char"/>
    <w:qFormat/>
    <w:rsid w:val="00CE7714"/>
    <w:pPr>
      <w:spacing w:before="120" w:after="120"/>
      <w:ind w:left="460" w:hanging="284"/>
      <w:contextualSpacing w:val="0"/>
    </w:pPr>
  </w:style>
  <w:style w:type="character" w:customStyle="1" w:styleId="TablebulletpointsChar">
    <w:name w:val="Table bullet points Char"/>
    <w:basedOn w:val="Bullets1Char"/>
    <w:link w:val="Tablebulletpoints"/>
    <w:uiPriority w:val="1"/>
    <w:rsid w:val="00554900"/>
    <w:rPr>
      <w:rFonts w:ascii="Arial" w:eastAsiaTheme="majorEastAsia" w:hAnsi="Arial"/>
      <w:sz w:val="20"/>
    </w:rPr>
  </w:style>
  <w:style w:type="paragraph" w:styleId="NormalWeb">
    <w:name w:val="Normal (Web)"/>
    <w:basedOn w:val="Normal"/>
    <w:uiPriority w:val="99"/>
    <w:semiHidden/>
    <w:unhideWhenUsed/>
    <w:rsid w:val="000B0B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SC-Bullets3Char">
    <w:name w:val="PSC - Bullets #3 Char"/>
    <w:basedOn w:val="ListParagraphChar"/>
    <w:link w:val="PSC-Bullets3"/>
    <w:rsid w:val="005A0644"/>
    <w:rPr>
      <w:rFonts w:ascii="Arial" w:eastAsiaTheme="minorHAnsi" w:hAnsi="Arial" w:cs="Arial"/>
      <w:sz w:val="20"/>
      <w:szCs w:val="24"/>
    </w:rPr>
  </w:style>
  <w:style w:type="character" w:customStyle="1" w:styleId="Tablebulletpointlist2Char">
    <w:name w:val="Table bullet point list 2 Char"/>
    <w:basedOn w:val="PSC-Bullets3Char"/>
    <w:link w:val="Tablebulletpointlist2"/>
    <w:rsid w:val="00CE7714"/>
    <w:rPr>
      <w:rFonts w:ascii="Arial" w:eastAsiaTheme="minorHAnsi" w:hAnsi="Arial" w:cs="Arial"/>
      <w:sz w:val="20"/>
      <w:szCs w:val="24"/>
    </w:rPr>
  </w:style>
  <w:style w:type="paragraph" w:styleId="IntenseQuote">
    <w:name w:val="Intense Quote"/>
    <w:basedOn w:val="Normal"/>
    <w:next w:val="Normal"/>
    <w:link w:val="IntenseQuoteChar"/>
    <w:uiPriority w:val="30"/>
    <w:qFormat/>
    <w:rsid w:val="008D754E"/>
    <w:pPr>
      <w:pBdr>
        <w:top w:val="single" w:sz="4" w:space="10" w:color="60C3AD" w:themeColor="accent1"/>
        <w:bottom w:val="single" w:sz="4" w:space="10" w:color="60C3A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D754E"/>
    <w:rPr>
      <w:rFonts w:ascii="Arial" w:hAnsi="Arial"/>
      <w:i/>
      <w:iCs/>
      <w:sz w:val="20"/>
    </w:rPr>
  </w:style>
  <w:style w:type="paragraph" w:customStyle="1" w:styleId="Text">
    <w:name w:val="Text"/>
    <w:basedOn w:val="Normal"/>
    <w:rsid w:val="00881510"/>
    <w:pPr>
      <w:tabs>
        <w:tab w:val="num" w:pos="1713"/>
      </w:tabs>
      <w:spacing w:before="120" w:line="240" w:lineRule="auto"/>
    </w:pPr>
    <w:rPr>
      <w:rFonts w:eastAsia="Times New Roman" w:cs="Times New Roman"/>
      <w:szCs w:val="20"/>
      <w:lang w:eastAsia="en-AU"/>
    </w:rPr>
  </w:style>
  <w:style w:type="table" w:styleId="ListTable3-Accent1">
    <w:name w:val="List Table 3 Accent 1"/>
    <w:basedOn w:val="TableNormal"/>
    <w:uiPriority w:val="48"/>
    <w:rsid w:val="00881510"/>
    <w:pPr>
      <w:spacing w:after="0" w:line="240" w:lineRule="auto"/>
    </w:pPr>
    <w:tblPr>
      <w:tblStyleRowBandSize w:val="1"/>
      <w:tblStyleColBandSize w:val="1"/>
      <w:tblBorders>
        <w:top w:val="single" w:sz="4" w:space="0" w:color="60C3AD" w:themeColor="accent1"/>
        <w:left w:val="single" w:sz="4" w:space="0" w:color="60C3AD" w:themeColor="accent1"/>
        <w:bottom w:val="single" w:sz="4" w:space="0" w:color="60C3AD" w:themeColor="accent1"/>
        <w:right w:val="single" w:sz="4" w:space="0" w:color="60C3AD" w:themeColor="accent1"/>
      </w:tblBorders>
    </w:tblPr>
    <w:tblStylePr w:type="firstRow">
      <w:rPr>
        <w:b/>
        <w:bCs/>
        <w:color w:val="FFFFFF" w:themeColor="background1"/>
      </w:rPr>
      <w:tblPr/>
      <w:tcPr>
        <w:shd w:val="clear" w:color="auto" w:fill="60C3AD" w:themeFill="accent1"/>
      </w:tcPr>
    </w:tblStylePr>
    <w:tblStylePr w:type="lastRow">
      <w:rPr>
        <w:b/>
        <w:bCs/>
      </w:rPr>
      <w:tblPr/>
      <w:tcPr>
        <w:tcBorders>
          <w:top w:val="double" w:sz="4" w:space="0" w:color="60C3A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3AD" w:themeColor="accent1"/>
          <w:right w:val="single" w:sz="4" w:space="0" w:color="60C3AD" w:themeColor="accent1"/>
        </w:tcBorders>
      </w:tcPr>
    </w:tblStylePr>
    <w:tblStylePr w:type="band1Horz">
      <w:tblPr/>
      <w:tcPr>
        <w:tcBorders>
          <w:top w:val="single" w:sz="4" w:space="0" w:color="60C3AD" w:themeColor="accent1"/>
          <w:bottom w:val="single" w:sz="4" w:space="0" w:color="60C3A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3AD" w:themeColor="accent1"/>
          <w:left w:val="nil"/>
        </w:tcBorders>
      </w:tcPr>
    </w:tblStylePr>
    <w:tblStylePr w:type="swCell">
      <w:tblPr/>
      <w:tcPr>
        <w:tcBorders>
          <w:top w:val="double" w:sz="4" w:space="0" w:color="60C3AD" w:themeColor="accent1"/>
          <w:right w:val="nil"/>
        </w:tcBorders>
      </w:tcPr>
    </w:tblStylePr>
  </w:style>
  <w:style w:type="table" w:styleId="ListTable4">
    <w:name w:val="List Table 4"/>
    <w:basedOn w:val="TableNormal"/>
    <w:uiPriority w:val="49"/>
    <w:rsid w:val="008D75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8D75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8D75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67026A"/>
  </w:style>
  <w:style w:type="character" w:customStyle="1" w:styleId="eop">
    <w:name w:val="eop"/>
    <w:basedOn w:val="DefaultParagraphFont"/>
    <w:rsid w:val="0067026A"/>
  </w:style>
  <w:style w:type="paragraph" w:customStyle="1" w:styleId="BasicParagraph">
    <w:name w:val="[Basic Paragraph]"/>
    <w:basedOn w:val="Normal"/>
    <w:uiPriority w:val="99"/>
    <w:rsid w:val="0067026A"/>
    <w:pPr>
      <w:autoSpaceDE w:val="0"/>
      <w:autoSpaceDN w:val="0"/>
      <w:adjustRightInd w:val="0"/>
      <w:spacing w:after="0" w:line="220" w:lineRule="atLeast"/>
      <w:textAlignment w:val="center"/>
    </w:pPr>
    <w:rPr>
      <w:rFonts w:ascii="MetaPro-Norm" w:eastAsiaTheme="minorHAnsi" w:hAnsi="MetaPro-Norm" w:cs="MetaPro-Norm"/>
      <w:color w:val="000000"/>
      <w:sz w:val="18"/>
      <w:szCs w:val="18"/>
      <w:lang w:val="en-US"/>
    </w:rPr>
  </w:style>
  <w:style w:type="paragraph" w:customStyle="1" w:styleId="noteindent0">
    <w:name w:val="noteindent"/>
    <w:basedOn w:val="Normal"/>
    <w:uiPriority w:val="99"/>
    <w:semiHidden/>
    <w:rsid w:val="00357E72"/>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SpacingChar">
    <w:name w:val="No Spacing Char"/>
    <w:basedOn w:val="DefaultParagraphFont"/>
    <w:link w:val="NoSpacing"/>
    <w:uiPriority w:val="1"/>
    <w:rsid w:val="00C00915"/>
    <w:rPr>
      <w:rFonts w:ascii="Arial" w:hAnsi="Arial"/>
    </w:rPr>
  </w:style>
  <w:style w:type="paragraph" w:customStyle="1" w:styleId="Notetext">
    <w:name w:val="Note text"/>
    <w:basedOn w:val="Normal"/>
    <w:link w:val="NotetextChar"/>
    <w:qFormat/>
    <w:rsid w:val="008E4057"/>
    <w:pPr>
      <w:spacing w:line="240" w:lineRule="auto"/>
    </w:pPr>
    <w:rPr>
      <w:rFonts w:eastAsia="Times New Roman" w:cs="Arial"/>
      <w:sz w:val="16"/>
      <w:szCs w:val="20"/>
      <w:lang w:eastAsia="en-AU"/>
    </w:rPr>
  </w:style>
  <w:style w:type="character" w:customStyle="1" w:styleId="NotetextChar">
    <w:name w:val="Note text Char"/>
    <w:link w:val="Notetext"/>
    <w:rsid w:val="008E4057"/>
    <w:rPr>
      <w:rFonts w:ascii="Arial" w:eastAsia="Times New Roman" w:hAnsi="Arial" w:cs="Arial"/>
      <w:sz w:val="16"/>
      <w:szCs w:val="20"/>
      <w:lang w:eastAsia="en-AU"/>
    </w:rPr>
  </w:style>
  <w:style w:type="paragraph" w:styleId="ListBullet">
    <w:name w:val="List Bullet"/>
    <w:basedOn w:val="Normal"/>
    <w:uiPriority w:val="9"/>
    <w:rsid w:val="008E4057"/>
    <w:pPr>
      <w:numPr>
        <w:numId w:val="7"/>
      </w:numPr>
      <w:spacing w:before="60" w:after="60"/>
    </w:pPr>
    <w:rPr>
      <w:rFonts w:eastAsia="Calibri" w:cs="Times New Roman"/>
      <w:sz w:val="19"/>
      <w:szCs w:val="18"/>
    </w:rPr>
  </w:style>
  <w:style w:type="paragraph" w:customStyle="1" w:styleId="TableParagraph">
    <w:name w:val="Table Paragraph"/>
    <w:basedOn w:val="Normal"/>
    <w:uiPriority w:val="1"/>
    <w:qFormat/>
    <w:rsid w:val="0070689B"/>
    <w:pPr>
      <w:widowControl w:val="0"/>
      <w:autoSpaceDE w:val="0"/>
      <w:autoSpaceDN w:val="0"/>
      <w:spacing w:after="0" w:line="240" w:lineRule="auto"/>
    </w:pPr>
    <w:rPr>
      <w:rFonts w:eastAsia="Arial" w:cs="Arial"/>
      <w:sz w:val="22"/>
      <w:szCs w:val="22"/>
      <w:lang w:val="en-US"/>
    </w:rPr>
  </w:style>
  <w:style w:type="character" w:styleId="Mention">
    <w:name w:val="Mention"/>
    <w:basedOn w:val="DefaultParagraphFont"/>
    <w:uiPriority w:val="99"/>
    <w:unhideWhenUsed/>
    <w:rsid w:val="0022104C"/>
    <w:rPr>
      <w:color w:val="2B579A"/>
      <w:shd w:val="clear" w:color="auto" w:fill="E1DFDD"/>
    </w:rPr>
  </w:style>
  <w:style w:type="paragraph" w:styleId="Revision">
    <w:name w:val="Revision"/>
    <w:hidden/>
    <w:uiPriority w:val="99"/>
    <w:semiHidden/>
    <w:rsid w:val="003679AB"/>
    <w:pPr>
      <w:spacing w:after="0" w:line="240" w:lineRule="auto"/>
    </w:pPr>
    <w:rPr>
      <w:rFonts w:ascii="Arial" w:hAnsi="Arial"/>
      <w:sz w:val="20"/>
    </w:rPr>
  </w:style>
  <w:style w:type="paragraph" w:customStyle="1" w:styleId="paragraph">
    <w:name w:val="paragraph"/>
    <w:basedOn w:val="Normal"/>
    <w:rsid w:val="00E1649F"/>
    <w:pPr>
      <w:spacing w:before="100" w:beforeAutospacing="1" w:after="100" w:afterAutospacing="1" w:line="240" w:lineRule="auto"/>
    </w:pPr>
    <w:rPr>
      <w:rFonts w:ascii="Calibri" w:eastAsiaTheme="minorHAnsi" w:hAnsi="Calibri" w:cs="Calibri"/>
      <w:sz w:val="22"/>
      <w:szCs w:val="22"/>
      <w:lang w:val="en-US"/>
    </w:rPr>
  </w:style>
  <w:style w:type="paragraph" w:customStyle="1" w:styleId="CM1">
    <w:name w:val="CM1"/>
    <w:basedOn w:val="Normal"/>
    <w:next w:val="Normal"/>
    <w:rsid w:val="00592257"/>
    <w:pPr>
      <w:autoSpaceDE w:val="0"/>
      <w:autoSpaceDN w:val="0"/>
      <w:adjustRightInd w:val="0"/>
      <w:spacing w:after="0" w:line="600" w:lineRule="atLeast"/>
    </w:pPr>
    <w:rPr>
      <w:rFonts w:ascii="Times New Roman" w:eastAsia="SimSun" w:hAnsi="Times New Roman" w:cs="Times New Roman"/>
      <w:sz w:val="24"/>
      <w:szCs w:val="24"/>
      <w:lang w:eastAsia="en-AU"/>
    </w:rPr>
  </w:style>
  <w:style w:type="paragraph" w:customStyle="1" w:styleId="Default">
    <w:name w:val="Default"/>
    <w:rsid w:val="00592257"/>
    <w:pPr>
      <w:autoSpaceDE w:val="0"/>
      <w:autoSpaceDN w:val="0"/>
      <w:adjustRightInd w:val="0"/>
      <w:spacing w:after="0" w:line="240" w:lineRule="auto"/>
    </w:pPr>
    <w:rPr>
      <w:rFonts w:ascii="Times New Roman" w:eastAsia="SimSun" w:hAnsi="Times New Roman" w:cs="Times New Roman"/>
      <w:color w:val="000000"/>
      <w:sz w:val="24"/>
      <w:szCs w:val="24"/>
      <w:lang w:eastAsia="en-AU"/>
    </w:rPr>
  </w:style>
  <w:style w:type="paragraph" w:customStyle="1" w:styleId="NormalHangingIndent35">
    <w:name w:val="Normal Hanging Indent 3.5"/>
    <w:basedOn w:val="Normal"/>
    <w:rsid w:val="00592257"/>
    <w:pPr>
      <w:tabs>
        <w:tab w:val="left" w:pos="1985"/>
        <w:tab w:val="left" w:pos="2552"/>
        <w:tab w:val="left" w:pos="3119"/>
      </w:tabs>
      <w:spacing w:before="240" w:after="0" w:line="240" w:lineRule="auto"/>
      <w:ind w:left="1985" w:hanging="1985"/>
      <w:jc w:val="both"/>
    </w:pPr>
    <w:rPr>
      <w:rFonts w:ascii="Times New Roman" w:eastAsia="SimSun" w:hAnsi="Times New Roman" w:cs="Times New Roman"/>
      <w:sz w:val="22"/>
      <w:szCs w:val="20"/>
      <w:lang w:eastAsia="en-AU"/>
    </w:rPr>
  </w:style>
  <w:style w:type="paragraph" w:customStyle="1" w:styleId="1">
    <w:name w:val="1"/>
    <w:basedOn w:val="Normal"/>
    <w:rsid w:val="00592257"/>
    <w:pPr>
      <w:keepNext/>
      <w:numPr>
        <w:ilvl w:val="12"/>
      </w:numPr>
      <w:spacing w:after="160" w:line="240" w:lineRule="exact"/>
      <w:ind w:left="540" w:firstLine="6"/>
    </w:pPr>
    <w:rPr>
      <w:rFonts w:ascii="Verdana" w:eastAsia="SimSun" w:hAnsi="Verdana" w:cs="Arial"/>
      <w:bCs/>
      <w:szCs w:val="22"/>
      <w:lang w:val="en-US"/>
    </w:rPr>
  </w:style>
  <w:style w:type="paragraph" w:styleId="BalloonText">
    <w:name w:val="Balloon Text"/>
    <w:basedOn w:val="Normal"/>
    <w:link w:val="BalloonTextChar"/>
    <w:semiHidden/>
    <w:rsid w:val="00592257"/>
    <w:pPr>
      <w:spacing w:after="0" w:line="240" w:lineRule="auto"/>
    </w:pPr>
    <w:rPr>
      <w:rFonts w:ascii="Tahoma" w:eastAsia="SimSun" w:hAnsi="Tahoma" w:cs="Tahoma"/>
      <w:sz w:val="16"/>
      <w:szCs w:val="16"/>
      <w:lang w:eastAsia="en-AU"/>
    </w:rPr>
  </w:style>
  <w:style w:type="character" w:customStyle="1" w:styleId="BalloonTextChar">
    <w:name w:val="Balloon Text Char"/>
    <w:basedOn w:val="DefaultParagraphFont"/>
    <w:link w:val="BalloonText"/>
    <w:semiHidden/>
    <w:rsid w:val="00592257"/>
    <w:rPr>
      <w:rFonts w:ascii="Tahoma" w:eastAsia="SimSun" w:hAnsi="Tahoma" w:cs="Tahoma"/>
      <w:sz w:val="16"/>
      <w:szCs w:val="16"/>
      <w:lang w:eastAsia="en-AU"/>
    </w:rPr>
  </w:style>
  <w:style w:type="table" w:customStyle="1" w:styleId="TableGrid1">
    <w:name w:val="Table Grid1"/>
    <w:basedOn w:val="TableNormal"/>
    <w:next w:val="TableGrid"/>
    <w:uiPriority w:val="39"/>
    <w:rsid w:val="00592257"/>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92257"/>
    <w:pPr>
      <w:spacing w:line="480" w:lineRule="auto"/>
    </w:pPr>
    <w:rPr>
      <w:rFonts w:ascii="Times New Roman" w:eastAsia="SimSun" w:hAnsi="Times New Roman" w:cs="Times New Roman"/>
      <w:sz w:val="24"/>
      <w:szCs w:val="24"/>
      <w:lang w:eastAsia="en-AU"/>
    </w:rPr>
  </w:style>
  <w:style w:type="character" w:customStyle="1" w:styleId="BodyText2Char">
    <w:name w:val="Body Text 2 Char"/>
    <w:basedOn w:val="DefaultParagraphFont"/>
    <w:link w:val="BodyText2"/>
    <w:rsid w:val="00592257"/>
    <w:rPr>
      <w:rFonts w:ascii="Times New Roman" w:eastAsia="SimSun" w:hAnsi="Times New Roman" w:cs="Times New Roman"/>
      <w:sz w:val="24"/>
      <w:szCs w:val="24"/>
      <w:lang w:eastAsia="en-AU"/>
    </w:rPr>
  </w:style>
  <w:style w:type="paragraph" w:customStyle="1" w:styleId="SectionSubheading">
    <w:name w:val="Section Subheading"/>
    <w:basedOn w:val="SectionHeadingNumbered"/>
    <w:next w:val="Normal"/>
    <w:qFormat/>
    <w:rsid w:val="00592257"/>
    <w:pPr>
      <w:numPr>
        <w:ilvl w:val="1"/>
      </w:numPr>
      <w:shd w:val="clear" w:color="auto" w:fill="auto"/>
      <w:ind w:right="0"/>
    </w:pPr>
    <w:rPr>
      <w:szCs w:val="16"/>
    </w:rPr>
  </w:style>
  <w:style w:type="paragraph" w:customStyle="1" w:styleId="SectionHeadingNumbered">
    <w:name w:val="Section Heading (Numbered)"/>
    <w:basedOn w:val="Normal"/>
    <w:qFormat/>
    <w:rsid w:val="00592257"/>
    <w:pPr>
      <w:numPr>
        <w:numId w:val="12"/>
      </w:numPr>
      <w:shd w:val="clear" w:color="auto" w:fill="FFFFFF"/>
      <w:spacing w:after="240" w:line="240" w:lineRule="auto"/>
      <w:ind w:left="567" w:right="113" w:hanging="207"/>
      <w:outlineLvl w:val="0"/>
    </w:pPr>
    <w:rPr>
      <w:rFonts w:ascii="Arial Bold" w:eastAsia="Times New Roman" w:hAnsi="Arial Bold" w:cs="Arial"/>
      <w:b/>
      <w:szCs w:val="20"/>
      <w:lang w:eastAsia="en-AU"/>
    </w:rPr>
  </w:style>
  <w:style w:type="paragraph" w:customStyle="1" w:styleId="tablebullet0">
    <w:name w:val="tablebullet"/>
    <w:basedOn w:val="Normal"/>
    <w:rsid w:val="00592257"/>
    <w:pPr>
      <w:spacing w:before="60" w:after="40" w:line="240" w:lineRule="auto"/>
      <w:ind w:left="227" w:hanging="227"/>
    </w:pPr>
    <w:rPr>
      <w:rFonts w:eastAsia="Calibri" w:cs="Arial"/>
      <w:szCs w:val="20"/>
      <w:lang w:eastAsia="en-AU"/>
    </w:rPr>
  </w:style>
  <w:style w:type="character" w:customStyle="1" w:styleId="st1">
    <w:name w:val="st1"/>
    <w:rsid w:val="00592257"/>
  </w:style>
  <w:style w:type="character" w:customStyle="1" w:styleId="tgc">
    <w:name w:val="_tgc"/>
    <w:rsid w:val="00592257"/>
  </w:style>
  <w:style w:type="paragraph" w:customStyle="1" w:styleId="ReferenceText">
    <w:name w:val="Reference Text"/>
    <w:basedOn w:val="Normal"/>
    <w:link w:val="ReferenceTextChar"/>
    <w:qFormat/>
    <w:rsid w:val="00592257"/>
    <w:pPr>
      <w:spacing w:after="0" w:line="260" w:lineRule="atLeast"/>
    </w:pPr>
    <w:rPr>
      <w:rFonts w:eastAsia="Times New Roman" w:cs="Arial"/>
      <w:sz w:val="18"/>
      <w:szCs w:val="20"/>
      <w:lang w:eastAsia="en-AU"/>
    </w:rPr>
  </w:style>
  <w:style w:type="character" w:customStyle="1" w:styleId="ReferenceTextChar">
    <w:name w:val="Reference Text Char"/>
    <w:link w:val="ReferenceText"/>
    <w:rsid w:val="00592257"/>
    <w:rPr>
      <w:rFonts w:ascii="Arial" w:eastAsia="Times New Roman" w:hAnsi="Arial" w:cs="Arial"/>
      <w:sz w:val="18"/>
      <w:szCs w:val="20"/>
      <w:lang w:eastAsia="en-AU"/>
    </w:rPr>
  </w:style>
  <w:style w:type="paragraph" w:customStyle="1" w:styleId="ARINTROPARA">
    <w:name w:val="AR INTRO PARA"/>
    <w:basedOn w:val="BodyText"/>
    <w:rsid w:val="00116DC3"/>
    <w:pPr>
      <w:widowControl w:val="0"/>
      <w:suppressAutoHyphens/>
      <w:spacing w:before="0" w:after="240" w:line="288" w:lineRule="auto"/>
    </w:pPr>
    <w:rPr>
      <w:rFonts w:eastAsia="Arial" w:cstheme="minorBidi"/>
      <w:color w:val="C00000"/>
      <w:sz w:val="24"/>
      <w:lang w:val="en-US" w:eastAsia="en-US"/>
    </w:rPr>
  </w:style>
  <w:style w:type="paragraph" w:styleId="TOC4">
    <w:name w:val="toc 4"/>
    <w:basedOn w:val="Normal"/>
    <w:next w:val="Normal"/>
    <w:autoRedefine/>
    <w:uiPriority w:val="39"/>
    <w:unhideWhenUsed/>
    <w:rsid w:val="000F0552"/>
    <w:pPr>
      <w:spacing w:after="100" w:line="259" w:lineRule="auto"/>
      <w:ind w:left="660"/>
    </w:pPr>
    <w:rPr>
      <w:rFonts w:asciiTheme="minorHAnsi" w:hAnsiTheme="minorHAnsi"/>
      <w:kern w:val="2"/>
      <w:sz w:val="22"/>
      <w:szCs w:val="22"/>
      <w:lang w:eastAsia="en-AU"/>
      <w14:ligatures w14:val="standardContextual"/>
    </w:rPr>
  </w:style>
  <w:style w:type="paragraph" w:styleId="TOC5">
    <w:name w:val="toc 5"/>
    <w:basedOn w:val="Normal"/>
    <w:next w:val="Normal"/>
    <w:autoRedefine/>
    <w:uiPriority w:val="39"/>
    <w:unhideWhenUsed/>
    <w:rsid w:val="000F0552"/>
    <w:pPr>
      <w:spacing w:after="100" w:line="259" w:lineRule="auto"/>
      <w:ind w:left="880"/>
    </w:pPr>
    <w:rPr>
      <w:rFonts w:asciiTheme="minorHAnsi" w:hAnsiTheme="minorHAnsi"/>
      <w:kern w:val="2"/>
      <w:sz w:val="22"/>
      <w:szCs w:val="22"/>
      <w:lang w:eastAsia="en-AU"/>
      <w14:ligatures w14:val="standardContextual"/>
    </w:rPr>
  </w:style>
  <w:style w:type="paragraph" w:styleId="TOC6">
    <w:name w:val="toc 6"/>
    <w:basedOn w:val="Normal"/>
    <w:next w:val="Normal"/>
    <w:autoRedefine/>
    <w:uiPriority w:val="39"/>
    <w:unhideWhenUsed/>
    <w:rsid w:val="000F0552"/>
    <w:pPr>
      <w:spacing w:after="100" w:line="259" w:lineRule="auto"/>
      <w:ind w:left="1100"/>
    </w:pPr>
    <w:rPr>
      <w:rFonts w:asciiTheme="minorHAnsi" w:hAnsiTheme="minorHAnsi"/>
      <w:kern w:val="2"/>
      <w:sz w:val="22"/>
      <w:szCs w:val="22"/>
      <w:lang w:eastAsia="en-AU"/>
      <w14:ligatures w14:val="standardContextual"/>
    </w:rPr>
  </w:style>
  <w:style w:type="paragraph" w:styleId="TOC7">
    <w:name w:val="toc 7"/>
    <w:basedOn w:val="Normal"/>
    <w:next w:val="Normal"/>
    <w:autoRedefine/>
    <w:uiPriority w:val="39"/>
    <w:unhideWhenUsed/>
    <w:rsid w:val="000F0552"/>
    <w:pPr>
      <w:spacing w:after="100" w:line="259" w:lineRule="auto"/>
      <w:ind w:left="1320"/>
    </w:pPr>
    <w:rPr>
      <w:rFonts w:asciiTheme="minorHAnsi" w:hAnsiTheme="minorHAnsi"/>
      <w:kern w:val="2"/>
      <w:sz w:val="22"/>
      <w:szCs w:val="22"/>
      <w:lang w:eastAsia="en-AU"/>
      <w14:ligatures w14:val="standardContextual"/>
    </w:rPr>
  </w:style>
  <w:style w:type="paragraph" w:styleId="TOC8">
    <w:name w:val="toc 8"/>
    <w:basedOn w:val="Normal"/>
    <w:next w:val="Normal"/>
    <w:autoRedefine/>
    <w:uiPriority w:val="39"/>
    <w:unhideWhenUsed/>
    <w:rsid w:val="000F0552"/>
    <w:pPr>
      <w:spacing w:after="100" w:line="259" w:lineRule="auto"/>
      <w:ind w:left="1540"/>
    </w:pPr>
    <w:rPr>
      <w:rFonts w:asciiTheme="minorHAnsi" w:hAnsiTheme="minorHAnsi"/>
      <w:kern w:val="2"/>
      <w:sz w:val="22"/>
      <w:szCs w:val="22"/>
      <w:lang w:eastAsia="en-AU"/>
      <w14:ligatures w14:val="standardContextual"/>
    </w:rPr>
  </w:style>
  <w:style w:type="paragraph" w:styleId="TOC9">
    <w:name w:val="toc 9"/>
    <w:basedOn w:val="Normal"/>
    <w:next w:val="Normal"/>
    <w:autoRedefine/>
    <w:uiPriority w:val="39"/>
    <w:unhideWhenUsed/>
    <w:rsid w:val="000F0552"/>
    <w:pPr>
      <w:spacing w:after="100" w:line="259" w:lineRule="auto"/>
      <w:ind w:left="1760"/>
    </w:pPr>
    <w:rPr>
      <w:rFonts w:asciiTheme="minorHAnsi" w:hAnsiTheme="minorHAnsi"/>
      <w:kern w:val="2"/>
      <w:sz w:val="22"/>
      <w:szCs w:val="22"/>
      <w:lang w:eastAsia="en-AU"/>
      <w14:ligatures w14:val="standardContextual"/>
    </w:rPr>
  </w:style>
  <w:style w:type="paragraph" w:customStyle="1" w:styleId="Dotpoint-Underletter">
    <w:name w:val="Dot point - Under letter"/>
    <w:basedOn w:val="PSC-Bullets1"/>
    <w:link w:val="Dotpoint-UnderletterChar"/>
    <w:qFormat/>
    <w:rsid w:val="001A2B74"/>
    <w:pPr>
      <w:ind w:left="709"/>
    </w:pPr>
  </w:style>
  <w:style w:type="character" w:customStyle="1" w:styleId="PSC-Bullets1Char">
    <w:name w:val="PSC - Bullets #1 Char"/>
    <w:basedOn w:val="ListParagraphChar"/>
    <w:link w:val="PSC-Bullets1"/>
    <w:rsid w:val="00E14F4B"/>
    <w:rPr>
      <w:rFonts w:ascii="Arial" w:eastAsiaTheme="minorHAnsi" w:hAnsi="Arial" w:cs="Arial"/>
      <w:color w:val="000000" w:themeColor="text1"/>
      <w:sz w:val="20"/>
      <w:szCs w:val="24"/>
    </w:rPr>
  </w:style>
  <w:style w:type="character" w:customStyle="1" w:styleId="Dotpoint-UnderletterChar">
    <w:name w:val="Dot point - Under letter Char"/>
    <w:basedOn w:val="PSC-Bullets1Char"/>
    <w:link w:val="Dotpoint-Underletter"/>
    <w:rsid w:val="001A2B74"/>
    <w:rPr>
      <w:rFonts w:ascii="Arial" w:eastAsiaTheme="minorHAnsi" w:hAnsi="Arial" w:cs="Arial"/>
      <w:color w:val="000000" w:themeColor="text1"/>
      <w:sz w:val="20"/>
      <w:szCs w:val="24"/>
    </w:rPr>
  </w:style>
  <w:style w:type="paragraph" w:customStyle="1" w:styleId="Letterslist">
    <w:name w:val="Letters list"/>
    <w:basedOn w:val="ListParagraph"/>
    <w:link w:val="LetterslistChar"/>
    <w:qFormat/>
    <w:rsid w:val="00E45A53"/>
    <w:pPr>
      <w:numPr>
        <w:numId w:val="11"/>
      </w:numPr>
      <w:spacing w:after="0"/>
    </w:pPr>
    <w:rPr>
      <w:b/>
      <w:bCs/>
    </w:rPr>
  </w:style>
  <w:style w:type="character" w:customStyle="1" w:styleId="LetterslistChar">
    <w:name w:val="Letters list Char"/>
    <w:basedOn w:val="ListParagraphChar"/>
    <w:link w:val="Letterslist"/>
    <w:rsid w:val="00E45A53"/>
    <w:rPr>
      <w:rFonts w:ascii="Arial" w:hAnsi="Arial"/>
      <w:b/>
      <w:bCs/>
      <w:sz w:val="20"/>
    </w:rPr>
  </w:style>
  <w:style w:type="paragraph" w:customStyle="1" w:styleId="Bullets2secondindent">
    <w:name w:val="Bullets 2 second indent"/>
    <w:basedOn w:val="PSC-Bullets2"/>
    <w:link w:val="Bullets2secondindentChar"/>
    <w:qFormat/>
    <w:rsid w:val="002552B9"/>
    <w:pPr>
      <w:ind w:left="709"/>
    </w:pPr>
  </w:style>
  <w:style w:type="character" w:customStyle="1" w:styleId="PSC-Bullets2Char">
    <w:name w:val="PSC - Bullets #2 Char"/>
    <w:basedOn w:val="ListParagraphChar"/>
    <w:link w:val="PSC-Bullets2"/>
    <w:rsid w:val="002552B9"/>
    <w:rPr>
      <w:rFonts w:ascii="Arial" w:eastAsiaTheme="minorHAnsi" w:hAnsi="Arial" w:cs="Arial"/>
      <w:sz w:val="20"/>
      <w:szCs w:val="24"/>
    </w:rPr>
  </w:style>
  <w:style w:type="character" w:customStyle="1" w:styleId="Bullets2secondindentChar">
    <w:name w:val="Bullets 2 second indent Char"/>
    <w:basedOn w:val="PSC-Bullets2Char"/>
    <w:link w:val="Bullets2secondindent"/>
    <w:rsid w:val="002552B9"/>
    <w:rPr>
      <w:rFonts w:ascii="Arial" w:eastAsiaTheme="minorHAnsi" w:hAnsi="Arial" w:cs="Arial"/>
      <w:sz w:val="20"/>
      <w:szCs w:val="24"/>
    </w:rPr>
  </w:style>
  <w:style w:type="paragraph" w:styleId="EndnoteText">
    <w:name w:val="endnote text"/>
    <w:basedOn w:val="Normal"/>
    <w:link w:val="EndnoteTextChar"/>
    <w:uiPriority w:val="99"/>
    <w:semiHidden/>
    <w:unhideWhenUsed/>
    <w:rsid w:val="004B3B3B"/>
    <w:pPr>
      <w:spacing w:after="0" w:line="240" w:lineRule="auto"/>
    </w:pPr>
    <w:rPr>
      <w:szCs w:val="20"/>
    </w:rPr>
  </w:style>
  <w:style w:type="character" w:customStyle="1" w:styleId="EndnoteTextChar">
    <w:name w:val="Endnote Text Char"/>
    <w:basedOn w:val="DefaultParagraphFont"/>
    <w:link w:val="EndnoteText"/>
    <w:uiPriority w:val="99"/>
    <w:semiHidden/>
    <w:rsid w:val="004B3B3B"/>
    <w:rPr>
      <w:rFonts w:ascii="Arial" w:hAnsi="Arial"/>
      <w:color w:val="000000" w:themeColor="text1"/>
      <w:sz w:val="20"/>
      <w:szCs w:val="20"/>
    </w:rPr>
  </w:style>
  <w:style w:type="character" w:styleId="EndnoteReference">
    <w:name w:val="endnote reference"/>
    <w:basedOn w:val="DefaultParagraphFont"/>
    <w:uiPriority w:val="99"/>
    <w:semiHidden/>
    <w:unhideWhenUsed/>
    <w:rsid w:val="004B3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27">
      <w:bodyDiv w:val="1"/>
      <w:marLeft w:val="0"/>
      <w:marRight w:val="0"/>
      <w:marTop w:val="0"/>
      <w:marBottom w:val="0"/>
      <w:divBdr>
        <w:top w:val="none" w:sz="0" w:space="0" w:color="auto"/>
        <w:left w:val="none" w:sz="0" w:space="0" w:color="auto"/>
        <w:bottom w:val="none" w:sz="0" w:space="0" w:color="auto"/>
        <w:right w:val="none" w:sz="0" w:space="0" w:color="auto"/>
      </w:divBdr>
    </w:div>
    <w:div w:id="45107775">
      <w:bodyDiv w:val="1"/>
      <w:marLeft w:val="0"/>
      <w:marRight w:val="0"/>
      <w:marTop w:val="0"/>
      <w:marBottom w:val="0"/>
      <w:divBdr>
        <w:top w:val="none" w:sz="0" w:space="0" w:color="auto"/>
        <w:left w:val="none" w:sz="0" w:space="0" w:color="auto"/>
        <w:bottom w:val="none" w:sz="0" w:space="0" w:color="auto"/>
        <w:right w:val="none" w:sz="0" w:space="0" w:color="auto"/>
      </w:divBdr>
    </w:div>
    <w:div w:id="87847542">
      <w:bodyDiv w:val="1"/>
      <w:marLeft w:val="0"/>
      <w:marRight w:val="0"/>
      <w:marTop w:val="0"/>
      <w:marBottom w:val="0"/>
      <w:divBdr>
        <w:top w:val="none" w:sz="0" w:space="0" w:color="auto"/>
        <w:left w:val="none" w:sz="0" w:space="0" w:color="auto"/>
        <w:bottom w:val="none" w:sz="0" w:space="0" w:color="auto"/>
        <w:right w:val="none" w:sz="0" w:space="0" w:color="auto"/>
      </w:divBdr>
    </w:div>
    <w:div w:id="99305451">
      <w:bodyDiv w:val="1"/>
      <w:marLeft w:val="0"/>
      <w:marRight w:val="0"/>
      <w:marTop w:val="0"/>
      <w:marBottom w:val="0"/>
      <w:divBdr>
        <w:top w:val="none" w:sz="0" w:space="0" w:color="auto"/>
        <w:left w:val="none" w:sz="0" w:space="0" w:color="auto"/>
        <w:bottom w:val="none" w:sz="0" w:space="0" w:color="auto"/>
        <w:right w:val="none" w:sz="0" w:space="0" w:color="auto"/>
      </w:divBdr>
    </w:div>
    <w:div w:id="110824634">
      <w:bodyDiv w:val="1"/>
      <w:marLeft w:val="0"/>
      <w:marRight w:val="0"/>
      <w:marTop w:val="0"/>
      <w:marBottom w:val="0"/>
      <w:divBdr>
        <w:top w:val="none" w:sz="0" w:space="0" w:color="auto"/>
        <w:left w:val="none" w:sz="0" w:space="0" w:color="auto"/>
        <w:bottom w:val="none" w:sz="0" w:space="0" w:color="auto"/>
        <w:right w:val="none" w:sz="0" w:space="0" w:color="auto"/>
      </w:divBdr>
    </w:div>
    <w:div w:id="163984291">
      <w:bodyDiv w:val="1"/>
      <w:marLeft w:val="0"/>
      <w:marRight w:val="0"/>
      <w:marTop w:val="0"/>
      <w:marBottom w:val="0"/>
      <w:divBdr>
        <w:top w:val="none" w:sz="0" w:space="0" w:color="auto"/>
        <w:left w:val="none" w:sz="0" w:space="0" w:color="auto"/>
        <w:bottom w:val="none" w:sz="0" w:space="0" w:color="auto"/>
        <w:right w:val="none" w:sz="0" w:space="0" w:color="auto"/>
      </w:divBdr>
    </w:div>
    <w:div w:id="242371426">
      <w:bodyDiv w:val="1"/>
      <w:marLeft w:val="0"/>
      <w:marRight w:val="0"/>
      <w:marTop w:val="0"/>
      <w:marBottom w:val="0"/>
      <w:divBdr>
        <w:top w:val="none" w:sz="0" w:space="0" w:color="auto"/>
        <w:left w:val="none" w:sz="0" w:space="0" w:color="auto"/>
        <w:bottom w:val="none" w:sz="0" w:space="0" w:color="auto"/>
        <w:right w:val="none" w:sz="0" w:space="0" w:color="auto"/>
      </w:divBdr>
    </w:div>
    <w:div w:id="321665485">
      <w:bodyDiv w:val="1"/>
      <w:marLeft w:val="0"/>
      <w:marRight w:val="0"/>
      <w:marTop w:val="0"/>
      <w:marBottom w:val="0"/>
      <w:divBdr>
        <w:top w:val="none" w:sz="0" w:space="0" w:color="auto"/>
        <w:left w:val="none" w:sz="0" w:space="0" w:color="auto"/>
        <w:bottom w:val="none" w:sz="0" w:space="0" w:color="auto"/>
        <w:right w:val="none" w:sz="0" w:space="0" w:color="auto"/>
      </w:divBdr>
    </w:div>
    <w:div w:id="384375959">
      <w:bodyDiv w:val="1"/>
      <w:marLeft w:val="0"/>
      <w:marRight w:val="0"/>
      <w:marTop w:val="0"/>
      <w:marBottom w:val="0"/>
      <w:divBdr>
        <w:top w:val="none" w:sz="0" w:space="0" w:color="auto"/>
        <w:left w:val="none" w:sz="0" w:space="0" w:color="auto"/>
        <w:bottom w:val="none" w:sz="0" w:space="0" w:color="auto"/>
        <w:right w:val="none" w:sz="0" w:space="0" w:color="auto"/>
      </w:divBdr>
    </w:div>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474296888">
      <w:bodyDiv w:val="1"/>
      <w:marLeft w:val="0"/>
      <w:marRight w:val="0"/>
      <w:marTop w:val="0"/>
      <w:marBottom w:val="0"/>
      <w:divBdr>
        <w:top w:val="none" w:sz="0" w:space="0" w:color="auto"/>
        <w:left w:val="none" w:sz="0" w:space="0" w:color="auto"/>
        <w:bottom w:val="none" w:sz="0" w:space="0" w:color="auto"/>
        <w:right w:val="none" w:sz="0" w:space="0" w:color="auto"/>
      </w:divBdr>
    </w:div>
    <w:div w:id="474489589">
      <w:bodyDiv w:val="1"/>
      <w:marLeft w:val="0"/>
      <w:marRight w:val="0"/>
      <w:marTop w:val="0"/>
      <w:marBottom w:val="0"/>
      <w:divBdr>
        <w:top w:val="none" w:sz="0" w:space="0" w:color="auto"/>
        <w:left w:val="none" w:sz="0" w:space="0" w:color="auto"/>
        <w:bottom w:val="none" w:sz="0" w:space="0" w:color="auto"/>
        <w:right w:val="none" w:sz="0" w:space="0" w:color="auto"/>
      </w:divBdr>
    </w:div>
    <w:div w:id="493883164">
      <w:bodyDiv w:val="1"/>
      <w:marLeft w:val="0"/>
      <w:marRight w:val="0"/>
      <w:marTop w:val="0"/>
      <w:marBottom w:val="0"/>
      <w:divBdr>
        <w:top w:val="none" w:sz="0" w:space="0" w:color="auto"/>
        <w:left w:val="none" w:sz="0" w:space="0" w:color="auto"/>
        <w:bottom w:val="none" w:sz="0" w:space="0" w:color="auto"/>
        <w:right w:val="none" w:sz="0" w:space="0" w:color="auto"/>
      </w:divBdr>
    </w:div>
    <w:div w:id="499269866">
      <w:bodyDiv w:val="1"/>
      <w:marLeft w:val="0"/>
      <w:marRight w:val="0"/>
      <w:marTop w:val="0"/>
      <w:marBottom w:val="0"/>
      <w:divBdr>
        <w:top w:val="none" w:sz="0" w:space="0" w:color="auto"/>
        <w:left w:val="none" w:sz="0" w:space="0" w:color="auto"/>
        <w:bottom w:val="none" w:sz="0" w:space="0" w:color="auto"/>
        <w:right w:val="none" w:sz="0" w:space="0" w:color="auto"/>
      </w:divBdr>
    </w:div>
    <w:div w:id="505438924">
      <w:bodyDiv w:val="1"/>
      <w:marLeft w:val="0"/>
      <w:marRight w:val="0"/>
      <w:marTop w:val="0"/>
      <w:marBottom w:val="0"/>
      <w:divBdr>
        <w:top w:val="none" w:sz="0" w:space="0" w:color="auto"/>
        <w:left w:val="none" w:sz="0" w:space="0" w:color="auto"/>
        <w:bottom w:val="none" w:sz="0" w:space="0" w:color="auto"/>
        <w:right w:val="none" w:sz="0" w:space="0" w:color="auto"/>
      </w:divBdr>
    </w:div>
    <w:div w:id="567885350">
      <w:bodyDiv w:val="1"/>
      <w:marLeft w:val="0"/>
      <w:marRight w:val="0"/>
      <w:marTop w:val="0"/>
      <w:marBottom w:val="0"/>
      <w:divBdr>
        <w:top w:val="none" w:sz="0" w:space="0" w:color="auto"/>
        <w:left w:val="none" w:sz="0" w:space="0" w:color="auto"/>
        <w:bottom w:val="none" w:sz="0" w:space="0" w:color="auto"/>
        <w:right w:val="none" w:sz="0" w:space="0" w:color="auto"/>
      </w:divBdr>
    </w:div>
    <w:div w:id="601688561">
      <w:bodyDiv w:val="1"/>
      <w:marLeft w:val="0"/>
      <w:marRight w:val="0"/>
      <w:marTop w:val="0"/>
      <w:marBottom w:val="0"/>
      <w:divBdr>
        <w:top w:val="none" w:sz="0" w:space="0" w:color="auto"/>
        <w:left w:val="none" w:sz="0" w:space="0" w:color="auto"/>
        <w:bottom w:val="none" w:sz="0" w:space="0" w:color="auto"/>
        <w:right w:val="none" w:sz="0" w:space="0" w:color="auto"/>
      </w:divBdr>
      <w:divsChild>
        <w:div w:id="451830108">
          <w:marLeft w:val="547"/>
          <w:marRight w:val="0"/>
          <w:marTop w:val="0"/>
          <w:marBottom w:val="0"/>
          <w:divBdr>
            <w:top w:val="none" w:sz="0" w:space="0" w:color="auto"/>
            <w:left w:val="none" w:sz="0" w:space="0" w:color="auto"/>
            <w:bottom w:val="none" w:sz="0" w:space="0" w:color="auto"/>
            <w:right w:val="none" w:sz="0" w:space="0" w:color="auto"/>
          </w:divBdr>
        </w:div>
      </w:divsChild>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679284710">
      <w:bodyDiv w:val="1"/>
      <w:marLeft w:val="0"/>
      <w:marRight w:val="0"/>
      <w:marTop w:val="0"/>
      <w:marBottom w:val="0"/>
      <w:divBdr>
        <w:top w:val="none" w:sz="0" w:space="0" w:color="auto"/>
        <w:left w:val="none" w:sz="0" w:space="0" w:color="auto"/>
        <w:bottom w:val="none" w:sz="0" w:space="0" w:color="auto"/>
        <w:right w:val="none" w:sz="0" w:space="0" w:color="auto"/>
      </w:divBdr>
    </w:div>
    <w:div w:id="695883083">
      <w:bodyDiv w:val="1"/>
      <w:marLeft w:val="0"/>
      <w:marRight w:val="0"/>
      <w:marTop w:val="0"/>
      <w:marBottom w:val="0"/>
      <w:divBdr>
        <w:top w:val="none" w:sz="0" w:space="0" w:color="auto"/>
        <w:left w:val="none" w:sz="0" w:space="0" w:color="auto"/>
        <w:bottom w:val="none" w:sz="0" w:space="0" w:color="auto"/>
        <w:right w:val="none" w:sz="0" w:space="0" w:color="auto"/>
      </w:divBdr>
    </w:div>
    <w:div w:id="754397397">
      <w:bodyDiv w:val="1"/>
      <w:marLeft w:val="0"/>
      <w:marRight w:val="0"/>
      <w:marTop w:val="0"/>
      <w:marBottom w:val="0"/>
      <w:divBdr>
        <w:top w:val="none" w:sz="0" w:space="0" w:color="auto"/>
        <w:left w:val="none" w:sz="0" w:space="0" w:color="auto"/>
        <w:bottom w:val="none" w:sz="0" w:space="0" w:color="auto"/>
        <w:right w:val="none" w:sz="0" w:space="0" w:color="auto"/>
      </w:divBdr>
    </w:div>
    <w:div w:id="779104174">
      <w:bodyDiv w:val="1"/>
      <w:marLeft w:val="0"/>
      <w:marRight w:val="0"/>
      <w:marTop w:val="0"/>
      <w:marBottom w:val="0"/>
      <w:divBdr>
        <w:top w:val="none" w:sz="0" w:space="0" w:color="auto"/>
        <w:left w:val="none" w:sz="0" w:space="0" w:color="auto"/>
        <w:bottom w:val="none" w:sz="0" w:space="0" w:color="auto"/>
        <w:right w:val="none" w:sz="0" w:space="0" w:color="auto"/>
      </w:divBdr>
    </w:div>
    <w:div w:id="799953021">
      <w:bodyDiv w:val="1"/>
      <w:marLeft w:val="0"/>
      <w:marRight w:val="0"/>
      <w:marTop w:val="0"/>
      <w:marBottom w:val="0"/>
      <w:divBdr>
        <w:top w:val="none" w:sz="0" w:space="0" w:color="auto"/>
        <w:left w:val="none" w:sz="0" w:space="0" w:color="auto"/>
        <w:bottom w:val="none" w:sz="0" w:space="0" w:color="auto"/>
        <w:right w:val="none" w:sz="0" w:space="0" w:color="auto"/>
      </w:divBdr>
    </w:div>
    <w:div w:id="816074996">
      <w:bodyDiv w:val="1"/>
      <w:marLeft w:val="0"/>
      <w:marRight w:val="0"/>
      <w:marTop w:val="0"/>
      <w:marBottom w:val="0"/>
      <w:divBdr>
        <w:top w:val="none" w:sz="0" w:space="0" w:color="auto"/>
        <w:left w:val="none" w:sz="0" w:space="0" w:color="auto"/>
        <w:bottom w:val="none" w:sz="0" w:space="0" w:color="auto"/>
        <w:right w:val="none" w:sz="0" w:space="0" w:color="auto"/>
      </w:divBdr>
    </w:div>
    <w:div w:id="833256635">
      <w:bodyDiv w:val="1"/>
      <w:marLeft w:val="0"/>
      <w:marRight w:val="0"/>
      <w:marTop w:val="0"/>
      <w:marBottom w:val="0"/>
      <w:divBdr>
        <w:top w:val="none" w:sz="0" w:space="0" w:color="auto"/>
        <w:left w:val="none" w:sz="0" w:space="0" w:color="auto"/>
        <w:bottom w:val="none" w:sz="0" w:space="0" w:color="auto"/>
        <w:right w:val="none" w:sz="0" w:space="0" w:color="auto"/>
      </w:divBdr>
    </w:div>
    <w:div w:id="838616745">
      <w:bodyDiv w:val="1"/>
      <w:marLeft w:val="0"/>
      <w:marRight w:val="0"/>
      <w:marTop w:val="0"/>
      <w:marBottom w:val="0"/>
      <w:divBdr>
        <w:top w:val="none" w:sz="0" w:space="0" w:color="auto"/>
        <w:left w:val="none" w:sz="0" w:space="0" w:color="auto"/>
        <w:bottom w:val="none" w:sz="0" w:space="0" w:color="auto"/>
        <w:right w:val="none" w:sz="0" w:space="0" w:color="auto"/>
      </w:divBdr>
    </w:div>
    <w:div w:id="867915271">
      <w:bodyDiv w:val="1"/>
      <w:marLeft w:val="0"/>
      <w:marRight w:val="0"/>
      <w:marTop w:val="0"/>
      <w:marBottom w:val="0"/>
      <w:divBdr>
        <w:top w:val="none" w:sz="0" w:space="0" w:color="auto"/>
        <w:left w:val="none" w:sz="0" w:space="0" w:color="auto"/>
        <w:bottom w:val="none" w:sz="0" w:space="0" w:color="auto"/>
        <w:right w:val="none" w:sz="0" w:space="0" w:color="auto"/>
      </w:divBdr>
    </w:div>
    <w:div w:id="868572247">
      <w:bodyDiv w:val="1"/>
      <w:marLeft w:val="0"/>
      <w:marRight w:val="0"/>
      <w:marTop w:val="0"/>
      <w:marBottom w:val="0"/>
      <w:divBdr>
        <w:top w:val="none" w:sz="0" w:space="0" w:color="auto"/>
        <w:left w:val="none" w:sz="0" w:space="0" w:color="auto"/>
        <w:bottom w:val="none" w:sz="0" w:space="0" w:color="auto"/>
        <w:right w:val="none" w:sz="0" w:space="0" w:color="auto"/>
      </w:divBdr>
    </w:div>
    <w:div w:id="920140260">
      <w:bodyDiv w:val="1"/>
      <w:marLeft w:val="0"/>
      <w:marRight w:val="0"/>
      <w:marTop w:val="0"/>
      <w:marBottom w:val="0"/>
      <w:divBdr>
        <w:top w:val="none" w:sz="0" w:space="0" w:color="auto"/>
        <w:left w:val="none" w:sz="0" w:space="0" w:color="auto"/>
        <w:bottom w:val="none" w:sz="0" w:space="0" w:color="auto"/>
        <w:right w:val="none" w:sz="0" w:space="0" w:color="auto"/>
      </w:divBdr>
    </w:div>
    <w:div w:id="928930657">
      <w:bodyDiv w:val="1"/>
      <w:marLeft w:val="0"/>
      <w:marRight w:val="0"/>
      <w:marTop w:val="0"/>
      <w:marBottom w:val="0"/>
      <w:divBdr>
        <w:top w:val="none" w:sz="0" w:space="0" w:color="auto"/>
        <w:left w:val="none" w:sz="0" w:space="0" w:color="auto"/>
        <w:bottom w:val="none" w:sz="0" w:space="0" w:color="auto"/>
        <w:right w:val="none" w:sz="0" w:space="0" w:color="auto"/>
      </w:divBdr>
    </w:div>
    <w:div w:id="954675945">
      <w:bodyDiv w:val="1"/>
      <w:marLeft w:val="0"/>
      <w:marRight w:val="0"/>
      <w:marTop w:val="0"/>
      <w:marBottom w:val="0"/>
      <w:divBdr>
        <w:top w:val="none" w:sz="0" w:space="0" w:color="auto"/>
        <w:left w:val="none" w:sz="0" w:space="0" w:color="auto"/>
        <w:bottom w:val="none" w:sz="0" w:space="0" w:color="auto"/>
        <w:right w:val="none" w:sz="0" w:space="0" w:color="auto"/>
      </w:divBdr>
    </w:div>
    <w:div w:id="963772464">
      <w:bodyDiv w:val="1"/>
      <w:marLeft w:val="0"/>
      <w:marRight w:val="0"/>
      <w:marTop w:val="0"/>
      <w:marBottom w:val="0"/>
      <w:divBdr>
        <w:top w:val="none" w:sz="0" w:space="0" w:color="auto"/>
        <w:left w:val="none" w:sz="0" w:space="0" w:color="auto"/>
        <w:bottom w:val="none" w:sz="0" w:space="0" w:color="auto"/>
        <w:right w:val="none" w:sz="0" w:space="0" w:color="auto"/>
      </w:divBdr>
    </w:div>
    <w:div w:id="986596157">
      <w:bodyDiv w:val="1"/>
      <w:marLeft w:val="0"/>
      <w:marRight w:val="0"/>
      <w:marTop w:val="0"/>
      <w:marBottom w:val="0"/>
      <w:divBdr>
        <w:top w:val="none" w:sz="0" w:space="0" w:color="auto"/>
        <w:left w:val="none" w:sz="0" w:space="0" w:color="auto"/>
        <w:bottom w:val="none" w:sz="0" w:space="0" w:color="auto"/>
        <w:right w:val="none" w:sz="0" w:space="0" w:color="auto"/>
      </w:divBdr>
    </w:div>
    <w:div w:id="1019703767">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039472350">
      <w:bodyDiv w:val="1"/>
      <w:marLeft w:val="0"/>
      <w:marRight w:val="0"/>
      <w:marTop w:val="0"/>
      <w:marBottom w:val="0"/>
      <w:divBdr>
        <w:top w:val="none" w:sz="0" w:space="0" w:color="auto"/>
        <w:left w:val="none" w:sz="0" w:space="0" w:color="auto"/>
        <w:bottom w:val="none" w:sz="0" w:space="0" w:color="auto"/>
        <w:right w:val="none" w:sz="0" w:space="0" w:color="auto"/>
      </w:divBdr>
    </w:div>
    <w:div w:id="1058675069">
      <w:bodyDiv w:val="1"/>
      <w:marLeft w:val="0"/>
      <w:marRight w:val="0"/>
      <w:marTop w:val="0"/>
      <w:marBottom w:val="0"/>
      <w:divBdr>
        <w:top w:val="none" w:sz="0" w:space="0" w:color="auto"/>
        <w:left w:val="none" w:sz="0" w:space="0" w:color="auto"/>
        <w:bottom w:val="none" w:sz="0" w:space="0" w:color="auto"/>
        <w:right w:val="none" w:sz="0" w:space="0" w:color="auto"/>
      </w:divBdr>
    </w:div>
    <w:div w:id="1059285246">
      <w:bodyDiv w:val="1"/>
      <w:marLeft w:val="0"/>
      <w:marRight w:val="0"/>
      <w:marTop w:val="0"/>
      <w:marBottom w:val="0"/>
      <w:divBdr>
        <w:top w:val="none" w:sz="0" w:space="0" w:color="auto"/>
        <w:left w:val="none" w:sz="0" w:space="0" w:color="auto"/>
        <w:bottom w:val="none" w:sz="0" w:space="0" w:color="auto"/>
        <w:right w:val="none" w:sz="0" w:space="0" w:color="auto"/>
      </w:divBdr>
    </w:div>
    <w:div w:id="1099594730">
      <w:bodyDiv w:val="1"/>
      <w:marLeft w:val="0"/>
      <w:marRight w:val="0"/>
      <w:marTop w:val="0"/>
      <w:marBottom w:val="0"/>
      <w:divBdr>
        <w:top w:val="none" w:sz="0" w:space="0" w:color="auto"/>
        <w:left w:val="none" w:sz="0" w:space="0" w:color="auto"/>
        <w:bottom w:val="none" w:sz="0" w:space="0" w:color="auto"/>
        <w:right w:val="none" w:sz="0" w:space="0" w:color="auto"/>
      </w:divBdr>
    </w:div>
    <w:div w:id="1189368790">
      <w:bodyDiv w:val="1"/>
      <w:marLeft w:val="0"/>
      <w:marRight w:val="0"/>
      <w:marTop w:val="0"/>
      <w:marBottom w:val="0"/>
      <w:divBdr>
        <w:top w:val="none" w:sz="0" w:space="0" w:color="auto"/>
        <w:left w:val="none" w:sz="0" w:space="0" w:color="auto"/>
        <w:bottom w:val="none" w:sz="0" w:space="0" w:color="auto"/>
        <w:right w:val="none" w:sz="0" w:space="0" w:color="auto"/>
      </w:divBdr>
    </w:div>
    <w:div w:id="1230530096">
      <w:bodyDiv w:val="1"/>
      <w:marLeft w:val="0"/>
      <w:marRight w:val="0"/>
      <w:marTop w:val="0"/>
      <w:marBottom w:val="0"/>
      <w:divBdr>
        <w:top w:val="none" w:sz="0" w:space="0" w:color="auto"/>
        <w:left w:val="none" w:sz="0" w:space="0" w:color="auto"/>
        <w:bottom w:val="none" w:sz="0" w:space="0" w:color="auto"/>
        <w:right w:val="none" w:sz="0" w:space="0" w:color="auto"/>
      </w:divBdr>
    </w:div>
    <w:div w:id="1308585232">
      <w:bodyDiv w:val="1"/>
      <w:marLeft w:val="0"/>
      <w:marRight w:val="0"/>
      <w:marTop w:val="0"/>
      <w:marBottom w:val="0"/>
      <w:divBdr>
        <w:top w:val="none" w:sz="0" w:space="0" w:color="auto"/>
        <w:left w:val="none" w:sz="0" w:space="0" w:color="auto"/>
        <w:bottom w:val="none" w:sz="0" w:space="0" w:color="auto"/>
        <w:right w:val="none" w:sz="0" w:space="0" w:color="auto"/>
      </w:divBdr>
    </w:div>
    <w:div w:id="1418861482">
      <w:bodyDiv w:val="1"/>
      <w:marLeft w:val="0"/>
      <w:marRight w:val="0"/>
      <w:marTop w:val="0"/>
      <w:marBottom w:val="0"/>
      <w:divBdr>
        <w:top w:val="none" w:sz="0" w:space="0" w:color="auto"/>
        <w:left w:val="none" w:sz="0" w:space="0" w:color="auto"/>
        <w:bottom w:val="none" w:sz="0" w:space="0" w:color="auto"/>
        <w:right w:val="none" w:sz="0" w:space="0" w:color="auto"/>
      </w:divBdr>
    </w:div>
    <w:div w:id="1463579318">
      <w:bodyDiv w:val="1"/>
      <w:marLeft w:val="0"/>
      <w:marRight w:val="0"/>
      <w:marTop w:val="0"/>
      <w:marBottom w:val="0"/>
      <w:divBdr>
        <w:top w:val="none" w:sz="0" w:space="0" w:color="auto"/>
        <w:left w:val="none" w:sz="0" w:space="0" w:color="auto"/>
        <w:bottom w:val="none" w:sz="0" w:space="0" w:color="auto"/>
        <w:right w:val="none" w:sz="0" w:space="0" w:color="auto"/>
      </w:divBdr>
    </w:div>
    <w:div w:id="1485319949">
      <w:bodyDiv w:val="1"/>
      <w:marLeft w:val="0"/>
      <w:marRight w:val="0"/>
      <w:marTop w:val="0"/>
      <w:marBottom w:val="0"/>
      <w:divBdr>
        <w:top w:val="none" w:sz="0" w:space="0" w:color="auto"/>
        <w:left w:val="none" w:sz="0" w:space="0" w:color="auto"/>
        <w:bottom w:val="none" w:sz="0" w:space="0" w:color="auto"/>
        <w:right w:val="none" w:sz="0" w:space="0" w:color="auto"/>
      </w:divBdr>
    </w:div>
    <w:div w:id="1488128568">
      <w:bodyDiv w:val="1"/>
      <w:marLeft w:val="0"/>
      <w:marRight w:val="0"/>
      <w:marTop w:val="0"/>
      <w:marBottom w:val="0"/>
      <w:divBdr>
        <w:top w:val="none" w:sz="0" w:space="0" w:color="auto"/>
        <w:left w:val="none" w:sz="0" w:space="0" w:color="auto"/>
        <w:bottom w:val="none" w:sz="0" w:space="0" w:color="auto"/>
        <w:right w:val="none" w:sz="0" w:space="0" w:color="auto"/>
      </w:divBdr>
    </w:div>
    <w:div w:id="1507089114">
      <w:bodyDiv w:val="1"/>
      <w:marLeft w:val="0"/>
      <w:marRight w:val="0"/>
      <w:marTop w:val="0"/>
      <w:marBottom w:val="0"/>
      <w:divBdr>
        <w:top w:val="none" w:sz="0" w:space="0" w:color="auto"/>
        <w:left w:val="none" w:sz="0" w:space="0" w:color="auto"/>
        <w:bottom w:val="none" w:sz="0" w:space="0" w:color="auto"/>
        <w:right w:val="none" w:sz="0" w:space="0" w:color="auto"/>
      </w:divBdr>
    </w:div>
    <w:div w:id="1597012821">
      <w:bodyDiv w:val="1"/>
      <w:marLeft w:val="0"/>
      <w:marRight w:val="0"/>
      <w:marTop w:val="0"/>
      <w:marBottom w:val="0"/>
      <w:divBdr>
        <w:top w:val="none" w:sz="0" w:space="0" w:color="auto"/>
        <w:left w:val="none" w:sz="0" w:space="0" w:color="auto"/>
        <w:bottom w:val="none" w:sz="0" w:space="0" w:color="auto"/>
        <w:right w:val="none" w:sz="0" w:space="0" w:color="auto"/>
      </w:divBdr>
    </w:div>
    <w:div w:id="1618873650">
      <w:bodyDiv w:val="1"/>
      <w:marLeft w:val="0"/>
      <w:marRight w:val="0"/>
      <w:marTop w:val="0"/>
      <w:marBottom w:val="0"/>
      <w:divBdr>
        <w:top w:val="none" w:sz="0" w:space="0" w:color="auto"/>
        <w:left w:val="none" w:sz="0" w:space="0" w:color="auto"/>
        <w:bottom w:val="none" w:sz="0" w:space="0" w:color="auto"/>
        <w:right w:val="none" w:sz="0" w:space="0" w:color="auto"/>
      </w:divBdr>
    </w:div>
    <w:div w:id="1626040898">
      <w:bodyDiv w:val="1"/>
      <w:marLeft w:val="0"/>
      <w:marRight w:val="0"/>
      <w:marTop w:val="0"/>
      <w:marBottom w:val="0"/>
      <w:divBdr>
        <w:top w:val="none" w:sz="0" w:space="0" w:color="auto"/>
        <w:left w:val="none" w:sz="0" w:space="0" w:color="auto"/>
        <w:bottom w:val="none" w:sz="0" w:space="0" w:color="auto"/>
        <w:right w:val="none" w:sz="0" w:space="0" w:color="auto"/>
      </w:divBdr>
    </w:div>
    <w:div w:id="1680960013">
      <w:bodyDiv w:val="1"/>
      <w:marLeft w:val="0"/>
      <w:marRight w:val="0"/>
      <w:marTop w:val="0"/>
      <w:marBottom w:val="0"/>
      <w:divBdr>
        <w:top w:val="none" w:sz="0" w:space="0" w:color="auto"/>
        <w:left w:val="none" w:sz="0" w:space="0" w:color="auto"/>
        <w:bottom w:val="none" w:sz="0" w:space="0" w:color="auto"/>
        <w:right w:val="none" w:sz="0" w:space="0" w:color="auto"/>
      </w:divBdr>
    </w:div>
    <w:div w:id="1729187435">
      <w:bodyDiv w:val="1"/>
      <w:marLeft w:val="0"/>
      <w:marRight w:val="0"/>
      <w:marTop w:val="0"/>
      <w:marBottom w:val="0"/>
      <w:divBdr>
        <w:top w:val="none" w:sz="0" w:space="0" w:color="auto"/>
        <w:left w:val="none" w:sz="0" w:space="0" w:color="auto"/>
        <w:bottom w:val="none" w:sz="0" w:space="0" w:color="auto"/>
        <w:right w:val="none" w:sz="0" w:space="0" w:color="auto"/>
      </w:divBdr>
    </w:div>
    <w:div w:id="1745949491">
      <w:bodyDiv w:val="1"/>
      <w:marLeft w:val="0"/>
      <w:marRight w:val="0"/>
      <w:marTop w:val="0"/>
      <w:marBottom w:val="0"/>
      <w:divBdr>
        <w:top w:val="none" w:sz="0" w:space="0" w:color="auto"/>
        <w:left w:val="none" w:sz="0" w:space="0" w:color="auto"/>
        <w:bottom w:val="none" w:sz="0" w:space="0" w:color="auto"/>
        <w:right w:val="none" w:sz="0" w:space="0" w:color="auto"/>
      </w:divBdr>
    </w:div>
    <w:div w:id="1874461592">
      <w:bodyDiv w:val="1"/>
      <w:marLeft w:val="0"/>
      <w:marRight w:val="0"/>
      <w:marTop w:val="0"/>
      <w:marBottom w:val="0"/>
      <w:divBdr>
        <w:top w:val="none" w:sz="0" w:space="0" w:color="auto"/>
        <w:left w:val="none" w:sz="0" w:space="0" w:color="auto"/>
        <w:bottom w:val="none" w:sz="0" w:space="0" w:color="auto"/>
        <w:right w:val="none" w:sz="0" w:space="0" w:color="auto"/>
      </w:divBdr>
    </w:div>
    <w:div w:id="1885826492">
      <w:bodyDiv w:val="1"/>
      <w:marLeft w:val="0"/>
      <w:marRight w:val="0"/>
      <w:marTop w:val="0"/>
      <w:marBottom w:val="0"/>
      <w:divBdr>
        <w:top w:val="none" w:sz="0" w:space="0" w:color="auto"/>
        <w:left w:val="none" w:sz="0" w:space="0" w:color="auto"/>
        <w:bottom w:val="none" w:sz="0" w:space="0" w:color="auto"/>
        <w:right w:val="none" w:sz="0" w:space="0" w:color="auto"/>
      </w:divBdr>
    </w:div>
    <w:div w:id="1890527313">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 w:id="1935088480">
      <w:bodyDiv w:val="1"/>
      <w:marLeft w:val="0"/>
      <w:marRight w:val="0"/>
      <w:marTop w:val="0"/>
      <w:marBottom w:val="0"/>
      <w:divBdr>
        <w:top w:val="none" w:sz="0" w:space="0" w:color="auto"/>
        <w:left w:val="none" w:sz="0" w:space="0" w:color="auto"/>
        <w:bottom w:val="none" w:sz="0" w:space="0" w:color="auto"/>
        <w:right w:val="none" w:sz="0" w:space="0" w:color="auto"/>
      </w:divBdr>
    </w:div>
    <w:div w:id="1947689260">
      <w:bodyDiv w:val="1"/>
      <w:marLeft w:val="0"/>
      <w:marRight w:val="0"/>
      <w:marTop w:val="0"/>
      <w:marBottom w:val="0"/>
      <w:divBdr>
        <w:top w:val="none" w:sz="0" w:space="0" w:color="auto"/>
        <w:left w:val="none" w:sz="0" w:space="0" w:color="auto"/>
        <w:bottom w:val="none" w:sz="0" w:space="0" w:color="auto"/>
        <w:right w:val="none" w:sz="0" w:space="0" w:color="auto"/>
      </w:divBdr>
    </w:div>
    <w:div w:id="2000963235">
      <w:bodyDiv w:val="1"/>
      <w:marLeft w:val="0"/>
      <w:marRight w:val="0"/>
      <w:marTop w:val="0"/>
      <w:marBottom w:val="0"/>
      <w:divBdr>
        <w:top w:val="none" w:sz="0" w:space="0" w:color="auto"/>
        <w:left w:val="none" w:sz="0" w:space="0" w:color="auto"/>
        <w:bottom w:val="none" w:sz="0" w:space="0" w:color="auto"/>
        <w:right w:val="none" w:sz="0" w:space="0" w:color="auto"/>
      </w:divBdr>
    </w:div>
    <w:div w:id="2088115115">
      <w:bodyDiv w:val="1"/>
      <w:marLeft w:val="0"/>
      <w:marRight w:val="0"/>
      <w:marTop w:val="0"/>
      <w:marBottom w:val="0"/>
      <w:divBdr>
        <w:top w:val="none" w:sz="0" w:space="0" w:color="auto"/>
        <w:left w:val="none" w:sz="0" w:space="0" w:color="auto"/>
        <w:bottom w:val="none" w:sz="0" w:space="0" w:color="auto"/>
        <w:right w:val="none" w:sz="0" w:space="0" w:color="auto"/>
      </w:divBdr>
    </w:div>
    <w:div w:id="2114743786">
      <w:bodyDiv w:val="1"/>
      <w:marLeft w:val="0"/>
      <w:marRight w:val="0"/>
      <w:marTop w:val="0"/>
      <w:marBottom w:val="0"/>
      <w:divBdr>
        <w:top w:val="none" w:sz="0" w:space="0" w:color="auto"/>
        <w:left w:val="none" w:sz="0" w:space="0" w:color="auto"/>
        <w:bottom w:val="none" w:sz="0" w:space="0" w:color="auto"/>
        <w:right w:val="none" w:sz="0" w:space="0" w:color="auto"/>
      </w:divBdr>
    </w:div>
    <w:div w:id="21405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qld.gov.au/__data/assets/pdf_file/0014/313700/Queensland-public-sector-Gender-pay-equity-dashboard-2022.pdf" TargetMode="External"/><Relationship Id="rId39" Type="http://schemas.openxmlformats.org/officeDocument/2006/relationships/image" Target="media/image7.emf"/><Relationship Id="rId21" Type="http://schemas.microsoft.com/office/2007/relationships/hdphoto" Target="media/hdphoto1.wdp"/><Relationship Id="rId34" Type="http://schemas.openxmlformats.org/officeDocument/2006/relationships/diagramQuickStyle" Target="diagrams/quickStyle1.xml"/><Relationship Id="rId42" Type="http://schemas.openxmlformats.org/officeDocument/2006/relationships/image" Target="media/image10.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image" Target="media/image28.png"/><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ld.gov.au/about/how-government-works/government-structure/public-sector-commission/about/assets/Queensland-Public-Service-Commission-Strategic-Plan-2022-2026.pdf" TargetMode="External"/><Relationship Id="rId29" Type="http://schemas.openxmlformats.org/officeDocument/2006/relationships/chart" Target="charts/chart3.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diagramData" Target="diagrams/data1.xml"/><Relationship Id="rId37" Type="http://schemas.openxmlformats.org/officeDocument/2006/relationships/image" Target="media/image7.png"/><Relationship Id="rId40" Type="http://schemas.openxmlformats.org/officeDocument/2006/relationships/image" Target="media/image8.emf"/><Relationship Id="rId45" Type="http://schemas.openxmlformats.org/officeDocument/2006/relationships/hyperlink" Target="https://aus01.safelinks.protection.outlook.com/?url=http%3A%2F%2Fwww.psc.qld.gov.au%2F&amp;data=05%7C01%7CShaun.Gordon%40psc.qld.gov.au%7C0dfcb364cdfb4f0a555208db3e6fc018%7C51778d2aa6ab4c7697dc782782d65046%7C1%7C0%7C638172421920632254%7CUnknown%7CTWFpbGZsb3d8eyJWIjoiMC4wLjAwMDAiLCJQIjoiV2luMzIiLCJBTiI6Ik1haWwiLCJXVCI6Mn0%3D%7C3000%7C%7C%7C&amp;sdata=%2FDw4gnN54ZZHv%2F92DqNhGdcrR43ZkkU9gfgtWovhLwQ%3D&amp;reserved=0" TargetMode="External"/><Relationship Id="rId53" Type="http://schemas.openxmlformats.org/officeDocument/2006/relationships/image" Target="media/image18.emf"/><Relationship Id="rId58" Type="http://schemas.openxmlformats.org/officeDocument/2006/relationships/image" Target="media/image23.emf"/><Relationship Id="rId66" Type="http://schemas.openxmlformats.org/officeDocument/2006/relationships/hyperlink" Target="https://qldaudit.au1.adobesign.com/verifier?tx=CBJCHBCAABAAG4V4L3rPH4D8AdQiILbIuu9vTGlsVUi8" TargetMode="External"/><Relationship Id="rId7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qld.gov.au/about/how-government-works/government-structure/public-service-commission" TargetMode="External"/><Relationship Id="rId28" Type="http://schemas.openxmlformats.org/officeDocument/2006/relationships/chart" Target="charts/chart2.xml"/><Relationship Id="rId36" Type="http://schemas.microsoft.com/office/2007/relationships/diagramDrawing" Target="diagrams/drawing1.xml"/><Relationship Id="rId49" Type="http://schemas.openxmlformats.org/officeDocument/2006/relationships/image" Target="media/image14.emf"/><Relationship Id="rId57" Type="http://schemas.openxmlformats.org/officeDocument/2006/relationships/image" Target="media/image22.emf"/><Relationship Id="rId61"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31" Type="http://schemas.openxmlformats.org/officeDocument/2006/relationships/hyperlink" Target="https://www.qld.gov.au/__data/assets/pdf_file/0008/331001/Queensland-Public-Service-Commission-Strategic-Plan-2022-2026v2.pdf" TargetMode="External"/><Relationship Id="rId44" Type="http://schemas.openxmlformats.org/officeDocument/2006/relationships/hyperlink" Target="mailto:commission.psc@psc.qld.gov.au" TargetMode="External"/><Relationship Id="rId52"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30.jpeg"/><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ommission.psc@psc.qld.gov.au" TargetMode="External"/><Relationship Id="rId27" Type="http://schemas.openxmlformats.org/officeDocument/2006/relationships/chart" Target="charts/chart1.xml"/><Relationship Id="rId30" Type="http://schemas.openxmlformats.org/officeDocument/2006/relationships/hyperlink" Target="https://www.qld.gov.au/about/how-government-works/objectives-for-the-community" TargetMode="External"/><Relationship Id="rId35" Type="http://schemas.openxmlformats.org/officeDocument/2006/relationships/diagramColors" Target="diagrams/colors1.xml"/><Relationship Id="rId43" Type="http://schemas.openxmlformats.org/officeDocument/2006/relationships/image" Target="media/image11.emf"/><Relationship Id="rId48" Type="http://schemas.openxmlformats.org/officeDocument/2006/relationships/image" Target="media/image13.emf"/><Relationship Id="rId56" Type="http://schemas.openxmlformats.org/officeDocument/2006/relationships/image" Target="media/image21.emf"/><Relationship Id="rId64" Type="http://schemas.openxmlformats.org/officeDocument/2006/relationships/image" Target="media/image29.png"/><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6.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3.treasury.qld.gov.au/files/Budget_2022-23_SDS_Department_of_the_Premier_and_Cabinet.pdf" TargetMode="External"/><Relationship Id="rId25" Type="http://schemas.openxmlformats.org/officeDocument/2006/relationships/hyperlink" Target="https://www.psc.qld.gov.au" TargetMode="External"/><Relationship Id="rId33" Type="http://schemas.openxmlformats.org/officeDocument/2006/relationships/diagramLayout" Target="diagrams/layout1.xml"/><Relationship Id="rId38" Type="http://schemas.openxmlformats.org/officeDocument/2006/relationships/hyperlink" Target="https://www.qao.qld.gov.au/reports-resources/reports-parliament/effectiveness-audit-committees-state-government-entities" TargetMode="External"/><Relationship Id="rId46" Type="http://schemas.openxmlformats.org/officeDocument/2006/relationships/hyperlink" Target="https://www.integrity.qld.gov.au/publications/annual-reports.aspx" TargetMode="External"/><Relationship Id="rId59" Type="http://schemas.openxmlformats.org/officeDocument/2006/relationships/image" Target="media/image24.emf"/><Relationship Id="rId67" Type="http://schemas.openxmlformats.org/officeDocument/2006/relationships/image" Target="media/image31.png"/><Relationship Id="rId20" Type="http://schemas.openxmlformats.org/officeDocument/2006/relationships/image" Target="media/image5.png"/><Relationship Id="rId41" Type="http://schemas.openxmlformats.org/officeDocument/2006/relationships/image" Target="media/image9.emf"/><Relationship Id="rId54" Type="http://schemas.openxmlformats.org/officeDocument/2006/relationships/image" Target="media/image19.emf"/><Relationship Id="rId62" Type="http://schemas.openxmlformats.org/officeDocument/2006/relationships/image" Target="media/image27.e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2" Type="http://schemas.openxmlformats.org/officeDocument/2006/relationships/hyperlink" Target="http://www.psc.qld.gov.au" TargetMode="External"/><Relationship Id="rId1" Type="http://schemas.openxmlformats.org/officeDocument/2006/relationships/hyperlink" Target="http://www.psc.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OneDrive%20-%20DPC\Microsoft%20Word%20templates\PSC%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1" i="0" u="none" strike="noStrike" kern="1200" spc="0" baseline="0">
                <a:solidFill>
                  <a:schemeClr val="tx1"/>
                </a:solidFill>
                <a:latin typeface="Arial" panose="020B0604020202020204" pitchFamily="34" charset="0"/>
                <a:cs typeface="Arial" panose="020B0604020202020204" pitchFamily="34" charset="0"/>
              </a:rPr>
              <a:t>Figure 1 - 2022-23 Commission Income Summary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Graphs!$E$2</c:f>
              <c:strCache>
                <c:ptCount val="1"/>
                <c:pt idx="0">
                  <c:v>FY23</c:v>
                </c:pt>
              </c:strCache>
            </c:strRef>
          </c:tx>
          <c:spPr>
            <a:solidFill>
              <a:schemeClr val="tx1"/>
            </a:solidFill>
            <a:ln>
              <a:noFill/>
            </a:ln>
            <a:effectLst/>
          </c:spPr>
          <c:invertIfNegative val="0"/>
          <c:cat>
            <c:strRef>
              <c:f>Graphs!$A$3:$A$6</c:f>
              <c:strCache>
                <c:ptCount val="4"/>
                <c:pt idx="0">
                  <c:v>Appropriation Revenue ($M)</c:v>
                </c:pt>
                <c:pt idx="1">
                  <c:v>Other Revenue ($M)</c:v>
                </c:pt>
                <c:pt idx="2">
                  <c:v>Grants and Contributions ($M)</c:v>
                </c:pt>
                <c:pt idx="3">
                  <c:v>User charges and Fees ($M)</c:v>
                </c:pt>
              </c:strCache>
            </c:strRef>
          </c:cat>
          <c:val>
            <c:numRef>
              <c:f>Graphs!$E$3:$E$6</c:f>
              <c:numCache>
                <c:formatCode>0.00</c:formatCode>
                <c:ptCount val="4"/>
                <c:pt idx="0">
                  <c:v>14.42</c:v>
                </c:pt>
                <c:pt idx="1">
                  <c:v>0.42750443999999999</c:v>
                </c:pt>
                <c:pt idx="2">
                  <c:v>1.2308057999999999</c:v>
                </c:pt>
                <c:pt idx="3">
                  <c:v>0.17231798000000001</c:v>
                </c:pt>
              </c:numCache>
            </c:numRef>
          </c:val>
          <c:extLst>
            <c:ext xmlns:c16="http://schemas.microsoft.com/office/drawing/2014/chart" uri="{C3380CC4-5D6E-409C-BE32-E72D297353CC}">
              <c16:uniqueId val="{00000000-FC38-455B-B03A-939734C9321B}"/>
            </c:ext>
          </c:extLst>
        </c:ser>
        <c:ser>
          <c:idx val="0"/>
          <c:order val="1"/>
          <c:tx>
            <c:strRef>
              <c:f>Graphs!$D$2</c:f>
              <c:strCache>
                <c:ptCount val="1"/>
                <c:pt idx="0">
                  <c:v>FY22</c:v>
                </c:pt>
              </c:strCache>
            </c:strRef>
          </c:tx>
          <c:spPr>
            <a:solidFill>
              <a:schemeClr val="bg1">
                <a:lumMod val="65000"/>
              </a:schemeClr>
            </a:solidFill>
            <a:ln>
              <a:noFill/>
            </a:ln>
            <a:effectLst/>
          </c:spPr>
          <c:invertIfNegative val="0"/>
          <c:cat>
            <c:strRef>
              <c:f>Graphs!$A$3:$A$6</c:f>
              <c:strCache>
                <c:ptCount val="4"/>
                <c:pt idx="0">
                  <c:v>Appropriation Revenue ($M)</c:v>
                </c:pt>
                <c:pt idx="1">
                  <c:v>Other Revenue ($M)</c:v>
                </c:pt>
                <c:pt idx="2">
                  <c:v>Grants and Contributions ($M)</c:v>
                </c:pt>
                <c:pt idx="3">
                  <c:v>User charges and Fees ($M)</c:v>
                </c:pt>
              </c:strCache>
            </c:strRef>
          </c:cat>
          <c:val>
            <c:numRef>
              <c:f>Graphs!$D$3:$D$6</c:f>
              <c:numCache>
                <c:formatCode>0.00</c:formatCode>
                <c:ptCount val="4"/>
                <c:pt idx="0">
                  <c:v>13.297000000000001</c:v>
                </c:pt>
                <c:pt idx="1">
                  <c:v>0.51536603999999997</c:v>
                </c:pt>
                <c:pt idx="2">
                  <c:v>1.1483705800000001</c:v>
                </c:pt>
                <c:pt idx="3">
                  <c:v>0.2230192</c:v>
                </c:pt>
              </c:numCache>
            </c:numRef>
          </c:val>
          <c:extLst>
            <c:ext xmlns:c16="http://schemas.microsoft.com/office/drawing/2014/chart" uri="{C3380CC4-5D6E-409C-BE32-E72D297353CC}">
              <c16:uniqueId val="{00000001-FC38-455B-B03A-939734C9321B}"/>
            </c:ext>
          </c:extLst>
        </c:ser>
        <c:dLbls>
          <c:showLegendKey val="0"/>
          <c:showVal val="0"/>
          <c:showCatName val="0"/>
          <c:showSerName val="0"/>
          <c:showPercent val="0"/>
          <c:showBubbleSize val="0"/>
        </c:dLbls>
        <c:gapWidth val="219"/>
        <c:overlap val="-27"/>
        <c:axId val="1288634472"/>
        <c:axId val="1288635192"/>
      </c:barChart>
      <c:catAx>
        <c:axId val="128863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635192"/>
        <c:crosses val="autoZero"/>
        <c:auto val="1"/>
        <c:lblAlgn val="ctr"/>
        <c:lblOffset val="100"/>
        <c:noMultiLvlLbl val="0"/>
      </c:catAx>
      <c:valAx>
        <c:axId val="1288635192"/>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t>
                </a:r>
              </a:p>
            </c:rich>
          </c:tx>
          <c:layout>
            <c:manualLayout>
              <c:xMode val="edge"/>
              <c:yMode val="edge"/>
              <c:x val="1.6847165696517546E-2"/>
              <c:y val="0.3233489843722582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63447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200" b="1" i="0" u="none" strike="noStrike" kern="1200" baseline="0">
                <a:solidFill>
                  <a:schemeClr val="tx1"/>
                </a:solidFill>
                <a:latin typeface="Arial" panose="020B0604020202020204" pitchFamily="34" charset="0"/>
                <a:cs typeface="Arial" panose="020B0604020202020204" pitchFamily="34" charset="0"/>
              </a:rPr>
              <a:t>Figure 2 - 2022-23 Commission Expenditure Summary</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1"/>
          <c:order val="0"/>
          <c:tx>
            <c:strRef>
              <c:f>Graphs!$E$10</c:f>
              <c:strCache>
                <c:ptCount val="1"/>
                <c:pt idx="0">
                  <c:v>FY23</c:v>
                </c:pt>
              </c:strCache>
            </c:strRef>
          </c:tx>
          <c:spPr>
            <a:solidFill>
              <a:schemeClr val="tx1"/>
            </a:solidFill>
            <a:ln>
              <a:noFill/>
            </a:ln>
            <a:effectLst/>
          </c:spPr>
          <c:invertIfNegative val="0"/>
          <c:cat>
            <c:strRef>
              <c:f>Graphs!$A$11:$A$15</c:f>
              <c:strCache>
                <c:ptCount val="5"/>
                <c:pt idx="0">
                  <c:v>Employee Expenses ($M)</c:v>
                </c:pt>
                <c:pt idx="1">
                  <c:v>Supplies and Services ($M)</c:v>
                </c:pt>
                <c:pt idx="2">
                  <c:v>Grants &amp; Subsidies ($M)</c:v>
                </c:pt>
                <c:pt idx="3">
                  <c:v>Depreciation and Amortisation ($M)</c:v>
                </c:pt>
                <c:pt idx="4">
                  <c:v>Other Expenses ($M)</c:v>
                </c:pt>
              </c:strCache>
            </c:strRef>
          </c:cat>
          <c:val>
            <c:numRef>
              <c:f>Graphs!$E$11:$E$15</c:f>
              <c:numCache>
                <c:formatCode>0.00</c:formatCode>
                <c:ptCount val="5"/>
                <c:pt idx="0">
                  <c:v>11.035755559999998</c:v>
                </c:pt>
                <c:pt idx="1">
                  <c:v>5.1171678899999993</c:v>
                </c:pt>
                <c:pt idx="2">
                  <c:v>4.5857369999999995E-2</c:v>
                </c:pt>
                <c:pt idx="3">
                  <c:v>8.8261299999999997E-3</c:v>
                </c:pt>
                <c:pt idx="4">
                  <c:v>4.3019000000000002E-2</c:v>
                </c:pt>
              </c:numCache>
            </c:numRef>
          </c:val>
          <c:extLst>
            <c:ext xmlns:c16="http://schemas.microsoft.com/office/drawing/2014/chart" uri="{C3380CC4-5D6E-409C-BE32-E72D297353CC}">
              <c16:uniqueId val="{00000000-E14E-4054-82FD-5F25CA61E549}"/>
            </c:ext>
          </c:extLst>
        </c:ser>
        <c:ser>
          <c:idx val="0"/>
          <c:order val="1"/>
          <c:tx>
            <c:strRef>
              <c:f>Graphs!$D$10</c:f>
              <c:strCache>
                <c:ptCount val="1"/>
                <c:pt idx="0">
                  <c:v>FY22</c:v>
                </c:pt>
              </c:strCache>
            </c:strRef>
          </c:tx>
          <c:spPr>
            <a:solidFill>
              <a:schemeClr val="bg1">
                <a:lumMod val="65000"/>
              </a:schemeClr>
            </a:solidFill>
            <a:ln>
              <a:noFill/>
            </a:ln>
            <a:effectLst/>
          </c:spPr>
          <c:invertIfNegative val="0"/>
          <c:cat>
            <c:strRef>
              <c:f>Graphs!$A$11:$A$15</c:f>
              <c:strCache>
                <c:ptCount val="5"/>
                <c:pt idx="0">
                  <c:v>Employee Expenses ($M)</c:v>
                </c:pt>
                <c:pt idx="1">
                  <c:v>Supplies and Services ($M)</c:v>
                </c:pt>
                <c:pt idx="2">
                  <c:v>Grants &amp; Subsidies ($M)</c:v>
                </c:pt>
                <c:pt idx="3">
                  <c:v>Depreciation and Amortisation ($M)</c:v>
                </c:pt>
                <c:pt idx="4">
                  <c:v>Other Expenses ($M)</c:v>
                </c:pt>
              </c:strCache>
            </c:strRef>
          </c:cat>
          <c:val>
            <c:numRef>
              <c:f>Graphs!$D$11:$D$15</c:f>
              <c:numCache>
                <c:formatCode>0.00</c:formatCode>
                <c:ptCount val="5"/>
                <c:pt idx="0">
                  <c:v>10.202906350000001</c:v>
                </c:pt>
                <c:pt idx="1">
                  <c:v>4.8987573799999993</c:v>
                </c:pt>
                <c:pt idx="2">
                  <c:v>3.8115000000000003E-2</c:v>
                </c:pt>
                <c:pt idx="3">
                  <c:v>2.8541999999999999E-3</c:v>
                </c:pt>
                <c:pt idx="4">
                  <c:v>4.1213E-2</c:v>
                </c:pt>
              </c:numCache>
            </c:numRef>
          </c:val>
          <c:extLst>
            <c:ext xmlns:c16="http://schemas.microsoft.com/office/drawing/2014/chart" uri="{C3380CC4-5D6E-409C-BE32-E72D297353CC}">
              <c16:uniqueId val="{00000001-E14E-4054-82FD-5F25CA61E549}"/>
            </c:ext>
          </c:extLst>
        </c:ser>
        <c:dLbls>
          <c:showLegendKey val="0"/>
          <c:showVal val="0"/>
          <c:showCatName val="0"/>
          <c:showSerName val="0"/>
          <c:showPercent val="0"/>
          <c:showBubbleSize val="0"/>
        </c:dLbls>
        <c:gapWidth val="219"/>
        <c:overlap val="-27"/>
        <c:axId val="1291225712"/>
        <c:axId val="1291226792"/>
      </c:barChart>
      <c:catAx>
        <c:axId val="129122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226792"/>
        <c:crosses val="autoZero"/>
        <c:auto val="1"/>
        <c:lblAlgn val="ctr"/>
        <c:lblOffset val="100"/>
        <c:noMultiLvlLbl val="0"/>
      </c:catAx>
      <c:valAx>
        <c:axId val="1291226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22571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AU" sz="1200" b="0" i="0" u="none" strike="noStrike" kern="1200" spc="0" baseline="0">
                <a:solidFill>
                  <a:schemeClr val="tx1"/>
                </a:solidFill>
                <a:latin typeface="Arial" panose="020B0604020202020204" pitchFamily="34" charset="0"/>
                <a:ea typeface="+mn-ea"/>
                <a:cs typeface="Arial" panose="020B0604020202020204" pitchFamily="34" charset="0"/>
              </a:rPr>
              <a:t>Figure 3 - Commission Financial Position</a:t>
            </a:r>
            <a:endParaRPr lang="en-AU" sz="1200" b="0" i="0" u="none" strike="noStrike" kern="1200" spc="0" baseline="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1"/>
          <c:order val="0"/>
          <c:tx>
            <c:strRef>
              <c:f>Graphs!$E$20</c:f>
              <c:strCache>
                <c:ptCount val="1"/>
                <c:pt idx="0">
                  <c:v>2023</c:v>
                </c:pt>
              </c:strCache>
            </c:strRef>
          </c:tx>
          <c:spPr>
            <a:solidFill>
              <a:schemeClr val="tx1"/>
            </a:solidFill>
            <a:ln>
              <a:noFill/>
            </a:ln>
            <a:effectLst/>
          </c:spPr>
          <c:invertIfNegative val="0"/>
          <c:cat>
            <c:strRef>
              <c:f>Graphs!$A$21:$A$23</c:f>
              <c:strCache>
                <c:ptCount val="3"/>
                <c:pt idx="0">
                  <c:v>Net Asset Position ($M)</c:v>
                </c:pt>
                <c:pt idx="1">
                  <c:v>Current assets ($M)</c:v>
                </c:pt>
                <c:pt idx="2">
                  <c:v>Current liabilities ($M)</c:v>
                </c:pt>
              </c:strCache>
            </c:strRef>
          </c:cat>
          <c:val>
            <c:numRef>
              <c:f>Graphs!$E$21:$E$23</c:f>
              <c:numCache>
                <c:formatCode>_("$"* #,##0.00_);_("$"* \(#,##0.00\);_("$"* "-"??_);_(@_)</c:formatCode>
                <c:ptCount val="3"/>
                <c:pt idx="0">
                  <c:v>1.2769999999999999</c:v>
                </c:pt>
                <c:pt idx="1">
                  <c:v>4.3739999999999997</c:v>
                </c:pt>
                <c:pt idx="2">
                  <c:v>3.4420000000000002</c:v>
                </c:pt>
              </c:numCache>
            </c:numRef>
          </c:val>
          <c:extLst>
            <c:ext xmlns:c16="http://schemas.microsoft.com/office/drawing/2014/chart" uri="{C3380CC4-5D6E-409C-BE32-E72D297353CC}">
              <c16:uniqueId val="{00000000-075C-479E-9975-5D6A3A2F5AA3}"/>
            </c:ext>
          </c:extLst>
        </c:ser>
        <c:ser>
          <c:idx val="0"/>
          <c:order val="1"/>
          <c:tx>
            <c:strRef>
              <c:f>Graphs!$D$20</c:f>
              <c:strCache>
                <c:ptCount val="1"/>
                <c:pt idx="0">
                  <c:v>2022</c:v>
                </c:pt>
              </c:strCache>
            </c:strRef>
          </c:tx>
          <c:spPr>
            <a:solidFill>
              <a:schemeClr val="bg1">
                <a:lumMod val="50000"/>
              </a:schemeClr>
            </a:solidFill>
            <a:ln>
              <a:noFill/>
            </a:ln>
            <a:effectLst/>
          </c:spPr>
          <c:invertIfNegative val="0"/>
          <c:cat>
            <c:strRef>
              <c:f>Graphs!$A$21:$A$23</c:f>
              <c:strCache>
                <c:ptCount val="3"/>
                <c:pt idx="0">
                  <c:v>Net Asset Position ($M)</c:v>
                </c:pt>
                <c:pt idx="1">
                  <c:v>Current assets ($M)</c:v>
                </c:pt>
                <c:pt idx="2">
                  <c:v>Current liabilities ($M)</c:v>
                </c:pt>
              </c:strCache>
            </c:strRef>
          </c:cat>
          <c:val>
            <c:numRef>
              <c:f>Graphs!$D$21:$D$23</c:f>
              <c:numCache>
                <c:formatCode>_("$"* #,##0.00_);_("$"* \(#,##0.00\);_("$"* "-"??_);_(@_)</c:formatCode>
                <c:ptCount val="3"/>
                <c:pt idx="0">
                  <c:v>0.93600000000000005</c:v>
                </c:pt>
                <c:pt idx="1">
                  <c:v>2.2349999999999999</c:v>
                </c:pt>
                <c:pt idx="2">
                  <c:v>1.304</c:v>
                </c:pt>
              </c:numCache>
            </c:numRef>
          </c:val>
          <c:extLst>
            <c:ext xmlns:c16="http://schemas.microsoft.com/office/drawing/2014/chart" uri="{C3380CC4-5D6E-409C-BE32-E72D297353CC}">
              <c16:uniqueId val="{00000001-075C-479E-9975-5D6A3A2F5AA3}"/>
            </c:ext>
          </c:extLst>
        </c:ser>
        <c:dLbls>
          <c:showLegendKey val="0"/>
          <c:showVal val="0"/>
          <c:showCatName val="0"/>
          <c:showSerName val="0"/>
          <c:showPercent val="0"/>
          <c:showBubbleSize val="0"/>
        </c:dLbls>
        <c:gapWidth val="219"/>
        <c:overlap val="-27"/>
        <c:axId val="1291231472"/>
        <c:axId val="1291224632"/>
      </c:barChart>
      <c:catAx>
        <c:axId val="129123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224632"/>
        <c:crosses val="autoZero"/>
        <c:auto val="1"/>
        <c:lblAlgn val="ctr"/>
        <c:lblOffset val="100"/>
        <c:noMultiLvlLbl val="0"/>
      </c:catAx>
      <c:valAx>
        <c:axId val="1291224632"/>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231472"/>
        <c:crosses val="autoZero"/>
        <c:crossBetween val="between"/>
        <c:maj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Table>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E5A514-DFE9-41C9-AF42-12B25E6EF14B}"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AU"/>
        </a:p>
      </dgm:t>
    </dgm:pt>
    <dgm:pt modelId="{C7D4F45B-536B-45EC-ABE5-D2329503A53E}">
      <dgm:prSet phldrT="[Text]" custT="1"/>
      <dgm:spPr/>
      <dgm:t>
        <a:bodyPr/>
        <a:lstStyle/>
        <a:p>
          <a:r>
            <a:rPr lang="en-AU" sz="1000">
              <a:latin typeface="Arial" panose="020B0604020202020204" pitchFamily="34" charset="0"/>
              <a:cs typeface="Arial" panose="020B0604020202020204" pitchFamily="34" charset="0"/>
            </a:rPr>
            <a:t>Premier of Queensland</a:t>
          </a:r>
        </a:p>
      </dgm:t>
    </dgm:pt>
    <dgm:pt modelId="{5EA08AA2-4FB0-4051-8655-FF77A55E3EE9}" type="parTrans" cxnId="{351033C0-D7CE-425B-B3BE-763B957CCCA4}">
      <dgm:prSet/>
      <dgm:spPr/>
      <dgm:t>
        <a:bodyPr/>
        <a:lstStyle/>
        <a:p>
          <a:endParaRPr lang="en-AU" sz="1000">
            <a:latin typeface="Arial" panose="020B0604020202020204" pitchFamily="34" charset="0"/>
            <a:cs typeface="Arial" panose="020B0604020202020204" pitchFamily="34" charset="0"/>
          </a:endParaRPr>
        </a:p>
      </dgm:t>
    </dgm:pt>
    <dgm:pt modelId="{E6336DB9-E341-4953-BCBA-314227491672}" type="sibTrans" cxnId="{351033C0-D7CE-425B-B3BE-763B957CCCA4}">
      <dgm:prSet/>
      <dgm:spPr/>
      <dgm:t>
        <a:bodyPr/>
        <a:lstStyle/>
        <a:p>
          <a:endParaRPr lang="en-AU" sz="1000">
            <a:latin typeface="Arial" panose="020B0604020202020204" pitchFamily="34" charset="0"/>
            <a:cs typeface="Arial" panose="020B0604020202020204" pitchFamily="34" charset="0"/>
          </a:endParaRPr>
        </a:p>
      </dgm:t>
    </dgm:pt>
    <dgm:pt modelId="{40F2DA7E-1629-4C03-AFD7-DD3C3CF79115}">
      <dgm:prSet phldrT="[Text]" custT="1"/>
      <dgm:spPr/>
      <dgm:t>
        <a:bodyPr/>
        <a:lstStyle/>
        <a:p>
          <a:r>
            <a:rPr lang="en-AU" sz="1000">
              <a:latin typeface="Arial" panose="020B0604020202020204" pitchFamily="34" charset="0"/>
              <a:cs typeface="Arial" panose="020B0604020202020204" pitchFamily="34" charset="0"/>
            </a:rPr>
            <a:t>Public Sector Commission</a:t>
          </a:r>
        </a:p>
      </dgm:t>
    </dgm:pt>
    <dgm:pt modelId="{3571B748-F696-4621-9DD7-D72E740BDEFD}" type="parTrans" cxnId="{0773F86B-F275-4F2B-9BCA-EB2E15DA1983}">
      <dgm:prSet/>
      <dgm:spPr/>
      <dgm:t>
        <a:bodyPr/>
        <a:lstStyle/>
        <a:p>
          <a:endParaRPr lang="en-AU" sz="1000">
            <a:latin typeface="Arial" panose="020B0604020202020204" pitchFamily="34" charset="0"/>
            <a:cs typeface="Arial" panose="020B0604020202020204" pitchFamily="34" charset="0"/>
          </a:endParaRPr>
        </a:p>
      </dgm:t>
    </dgm:pt>
    <dgm:pt modelId="{BB5CB8EF-FF13-4994-A2E4-0CC2B70B9CE0}" type="sibTrans" cxnId="{0773F86B-F275-4F2B-9BCA-EB2E15DA1983}">
      <dgm:prSet/>
      <dgm:spPr/>
      <dgm:t>
        <a:bodyPr/>
        <a:lstStyle/>
        <a:p>
          <a:endParaRPr lang="en-AU" sz="1000">
            <a:latin typeface="Arial" panose="020B0604020202020204" pitchFamily="34" charset="0"/>
            <a:cs typeface="Arial" panose="020B0604020202020204" pitchFamily="34" charset="0"/>
          </a:endParaRPr>
        </a:p>
      </dgm:t>
    </dgm:pt>
    <dgm:pt modelId="{365E757A-DD29-4977-BF38-ABB382697FF5}">
      <dgm:prSet custT="1"/>
      <dgm:spPr/>
      <dgm:t>
        <a:bodyPr/>
        <a:lstStyle/>
        <a:p>
          <a:r>
            <a:rPr lang="en-AU" sz="1000">
              <a:latin typeface="Arial" panose="020B0604020202020204" pitchFamily="34" charset="0"/>
              <a:cs typeface="Arial" panose="020B0604020202020204" pitchFamily="34" charset="0"/>
            </a:rPr>
            <a:t>Public Sector Commissioner</a:t>
          </a:r>
        </a:p>
      </dgm:t>
    </dgm:pt>
    <dgm:pt modelId="{0885236D-CA9D-476B-B9BD-4BF7BF1A2CF3}" type="parTrans" cxnId="{A1A75F11-9F34-41FA-90F5-99D5231CD74F}">
      <dgm:prSet/>
      <dgm:spPr/>
      <dgm:t>
        <a:bodyPr/>
        <a:lstStyle/>
        <a:p>
          <a:endParaRPr lang="en-AU" sz="1000">
            <a:latin typeface="Arial" panose="020B0604020202020204" pitchFamily="34" charset="0"/>
            <a:cs typeface="Arial" panose="020B0604020202020204" pitchFamily="34" charset="0"/>
          </a:endParaRPr>
        </a:p>
      </dgm:t>
    </dgm:pt>
    <dgm:pt modelId="{033AA7B2-3DFF-4E17-AD79-495A1F3174C3}" type="sibTrans" cxnId="{A1A75F11-9F34-41FA-90F5-99D5231CD74F}">
      <dgm:prSet/>
      <dgm:spPr/>
      <dgm:t>
        <a:bodyPr/>
        <a:lstStyle/>
        <a:p>
          <a:endParaRPr lang="en-AU" sz="1000">
            <a:latin typeface="Arial" panose="020B0604020202020204" pitchFamily="34" charset="0"/>
            <a:cs typeface="Arial" panose="020B0604020202020204" pitchFamily="34" charset="0"/>
          </a:endParaRPr>
        </a:p>
      </dgm:t>
    </dgm:pt>
    <dgm:pt modelId="{C3191E00-DBD0-4516-A9F3-753731544B83}">
      <dgm:prSet custT="1"/>
      <dgm:spPr/>
      <dgm:t>
        <a:bodyPr/>
        <a:lstStyle/>
        <a:p>
          <a:r>
            <a:rPr lang="en-AU" sz="1000">
              <a:latin typeface="Arial" panose="020B0604020202020204" pitchFamily="34" charset="0"/>
              <a:cs typeface="Arial" panose="020B0604020202020204" pitchFamily="34" charset="0"/>
            </a:rPr>
            <a:t>Deputy Commissioner</a:t>
          </a:r>
        </a:p>
      </dgm:t>
    </dgm:pt>
    <dgm:pt modelId="{FBB59316-5C41-4D74-8DE4-DBF6E9FE9474}" type="parTrans" cxnId="{DE1EFA38-B522-4900-904F-6A749C5B3B7F}">
      <dgm:prSet/>
      <dgm:spPr/>
      <dgm:t>
        <a:bodyPr/>
        <a:lstStyle/>
        <a:p>
          <a:endParaRPr lang="en-AU" sz="1000">
            <a:latin typeface="Arial" panose="020B0604020202020204" pitchFamily="34" charset="0"/>
            <a:cs typeface="Arial" panose="020B0604020202020204" pitchFamily="34" charset="0"/>
          </a:endParaRPr>
        </a:p>
      </dgm:t>
    </dgm:pt>
    <dgm:pt modelId="{3D69A152-5BB8-4929-BE28-96C569878E78}" type="sibTrans" cxnId="{DE1EFA38-B522-4900-904F-6A749C5B3B7F}">
      <dgm:prSet/>
      <dgm:spPr/>
      <dgm:t>
        <a:bodyPr/>
        <a:lstStyle/>
        <a:p>
          <a:endParaRPr lang="en-AU" sz="1000">
            <a:latin typeface="Arial" panose="020B0604020202020204" pitchFamily="34" charset="0"/>
            <a:cs typeface="Arial" panose="020B0604020202020204" pitchFamily="34" charset="0"/>
          </a:endParaRPr>
        </a:p>
      </dgm:t>
    </dgm:pt>
    <dgm:pt modelId="{6F7BB68D-D842-4996-9456-4EE7DAE07C01}">
      <dgm:prSet custT="1"/>
      <dgm:spPr/>
      <dgm:t>
        <a:bodyPr lIns="18000" rIns="18000"/>
        <a:lstStyle/>
        <a:p>
          <a:r>
            <a:rPr lang="en-AU" sz="1000">
              <a:latin typeface="Arial" panose="020B0604020202020204" pitchFamily="34" charset="0"/>
              <a:cs typeface="Arial" panose="020B0604020202020204" pitchFamily="34" charset="0"/>
            </a:rPr>
            <a:t>Public Sector Employment Practice</a:t>
          </a:r>
        </a:p>
      </dgm:t>
    </dgm:pt>
    <dgm:pt modelId="{B4C8837D-319D-4B2F-9A4D-D9799B66DC4D}" type="parTrans" cxnId="{B371E22F-FB63-4066-8E4F-4615D0EDCC59}">
      <dgm:prSet/>
      <dgm:spPr/>
      <dgm:t>
        <a:bodyPr/>
        <a:lstStyle/>
        <a:p>
          <a:endParaRPr lang="en-AU" sz="1000">
            <a:latin typeface="Arial" panose="020B0604020202020204" pitchFamily="34" charset="0"/>
            <a:cs typeface="Arial" panose="020B0604020202020204" pitchFamily="34" charset="0"/>
          </a:endParaRPr>
        </a:p>
      </dgm:t>
    </dgm:pt>
    <dgm:pt modelId="{02824AF2-CBB1-4FB3-A233-5957ED5B910A}" type="sibTrans" cxnId="{B371E22F-FB63-4066-8E4F-4615D0EDCC59}">
      <dgm:prSet/>
      <dgm:spPr/>
      <dgm:t>
        <a:bodyPr/>
        <a:lstStyle/>
        <a:p>
          <a:endParaRPr lang="en-AU" sz="1000">
            <a:latin typeface="Arial" panose="020B0604020202020204" pitchFamily="34" charset="0"/>
            <a:cs typeface="Arial" panose="020B0604020202020204" pitchFamily="34" charset="0"/>
          </a:endParaRPr>
        </a:p>
      </dgm:t>
    </dgm:pt>
    <dgm:pt modelId="{7439A268-24E1-4426-8DB6-168972DE3B55}">
      <dgm:prSet custT="1"/>
      <dgm:spPr/>
      <dgm:t>
        <a:bodyPr lIns="18000" rIns="18000"/>
        <a:lstStyle/>
        <a:p>
          <a:r>
            <a:rPr lang="en-AU" sz="1000">
              <a:latin typeface="Arial" panose="020B0604020202020204" pitchFamily="34" charset="0"/>
              <a:cs typeface="Arial" panose="020B0604020202020204" pitchFamily="34" charset="0"/>
            </a:rPr>
            <a:t>Leadership and Capability</a:t>
          </a:r>
        </a:p>
      </dgm:t>
    </dgm:pt>
    <dgm:pt modelId="{AE00CA81-0462-4E62-B6EF-5A956CEE03BA}" type="parTrans" cxnId="{02035CEF-9F62-421D-99AA-D0E80F7B802D}">
      <dgm:prSet/>
      <dgm:spPr/>
      <dgm:t>
        <a:bodyPr/>
        <a:lstStyle/>
        <a:p>
          <a:endParaRPr lang="en-AU" sz="1000">
            <a:latin typeface="Arial" panose="020B0604020202020204" pitchFamily="34" charset="0"/>
            <a:cs typeface="Arial" panose="020B0604020202020204" pitchFamily="34" charset="0"/>
          </a:endParaRPr>
        </a:p>
      </dgm:t>
    </dgm:pt>
    <dgm:pt modelId="{274CC4E8-9F8F-4206-B0AB-EA25CFB61279}" type="sibTrans" cxnId="{02035CEF-9F62-421D-99AA-D0E80F7B802D}">
      <dgm:prSet/>
      <dgm:spPr/>
      <dgm:t>
        <a:bodyPr/>
        <a:lstStyle/>
        <a:p>
          <a:endParaRPr lang="en-AU" sz="1000">
            <a:latin typeface="Arial" panose="020B0604020202020204" pitchFamily="34" charset="0"/>
            <a:cs typeface="Arial" panose="020B0604020202020204" pitchFamily="34" charset="0"/>
          </a:endParaRPr>
        </a:p>
      </dgm:t>
    </dgm:pt>
    <dgm:pt modelId="{16BB19A5-C7B0-4180-B1D1-0A620098452F}">
      <dgm:prSet custT="1"/>
      <dgm:spPr/>
      <dgm:t>
        <a:bodyPr lIns="18000" rIns="18000"/>
        <a:lstStyle/>
        <a:p>
          <a:r>
            <a:rPr lang="en-AU" sz="1000">
              <a:latin typeface="Arial" panose="020B0604020202020204" pitchFamily="34" charset="0"/>
              <a:cs typeface="Arial" panose="020B0604020202020204" pitchFamily="34" charset="0"/>
            </a:rPr>
            <a:t>Strategic Workforce Futures</a:t>
          </a:r>
        </a:p>
      </dgm:t>
    </dgm:pt>
    <dgm:pt modelId="{B4947579-4572-4D1D-869F-A9942986019F}" type="parTrans" cxnId="{5F40CBB8-9518-4037-9F4B-305937151AD3}">
      <dgm:prSet/>
      <dgm:spPr/>
      <dgm:t>
        <a:bodyPr/>
        <a:lstStyle/>
        <a:p>
          <a:endParaRPr lang="en-AU" sz="1000">
            <a:latin typeface="Arial" panose="020B0604020202020204" pitchFamily="34" charset="0"/>
            <a:cs typeface="Arial" panose="020B0604020202020204" pitchFamily="34" charset="0"/>
          </a:endParaRPr>
        </a:p>
      </dgm:t>
    </dgm:pt>
    <dgm:pt modelId="{7E34B26A-1477-4C5F-BB1A-3524171DCE2A}" type="sibTrans" cxnId="{5F40CBB8-9518-4037-9F4B-305937151AD3}">
      <dgm:prSet/>
      <dgm:spPr/>
      <dgm:t>
        <a:bodyPr/>
        <a:lstStyle/>
        <a:p>
          <a:endParaRPr lang="en-AU" sz="1000">
            <a:latin typeface="Arial" panose="020B0604020202020204" pitchFamily="34" charset="0"/>
            <a:cs typeface="Arial" panose="020B0604020202020204" pitchFamily="34" charset="0"/>
          </a:endParaRPr>
        </a:p>
      </dgm:t>
    </dgm:pt>
    <dgm:pt modelId="{322BC93F-4A4A-474D-9ACA-C3C4E9CD4794}">
      <dgm:prSet custT="1"/>
      <dgm:spPr/>
      <dgm:t>
        <a:bodyPr lIns="18000" rIns="18000"/>
        <a:lstStyle/>
        <a:p>
          <a:r>
            <a:rPr lang="en-AU" sz="1000">
              <a:latin typeface="Arial" panose="020B0604020202020204" pitchFamily="34" charset="0"/>
              <a:cs typeface="Arial" panose="020B0604020202020204" pitchFamily="34" charset="0"/>
            </a:rPr>
            <a:t>Communications and Engagement</a:t>
          </a:r>
        </a:p>
      </dgm:t>
    </dgm:pt>
    <dgm:pt modelId="{76AC0D47-8927-48A9-AF24-1BBBD2E40FED}" type="parTrans" cxnId="{C5E23973-53BD-495D-8A9C-9A422ECC3389}">
      <dgm:prSet/>
      <dgm:spPr/>
      <dgm:t>
        <a:bodyPr/>
        <a:lstStyle/>
        <a:p>
          <a:endParaRPr lang="en-AU" sz="1000">
            <a:latin typeface="Arial" panose="020B0604020202020204" pitchFamily="34" charset="0"/>
            <a:cs typeface="Arial" panose="020B0604020202020204" pitchFamily="34" charset="0"/>
          </a:endParaRPr>
        </a:p>
      </dgm:t>
    </dgm:pt>
    <dgm:pt modelId="{CA0262D6-92ED-42E5-A935-C33CF6C9CBED}" type="sibTrans" cxnId="{C5E23973-53BD-495D-8A9C-9A422ECC3389}">
      <dgm:prSet/>
      <dgm:spPr/>
      <dgm:t>
        <a:bodyPr/>
        <a:lstStyle/>
        <a:p>
          <a:endParaRPr lang="en-AU" sz="1000">
            <a:latin typeface="Arial" panose="020B0604020202020204" pitchFamily="34" charset="0"/>
            <a:cs typeface="Arial" panose="020B0604020202020204" pitchFamily="34" charset="0"/>
          </a:endParaRPr>
        </a:p>
      </dgm:t>
    </dgm:pt>
    <dgm:pt modelId="{26A9D297-271F-4846-AC73-86830E506AC1}">
      <dgm:prSet custT="1"/>
      <dgm:spPr/>
      <dgm:t>
        <a:bodyPr lIns="18000" rIns="18000"/>
        <a:lstStyle/>
        <a:p>
          <a:r>
            <a:rPr lang="en-AU" sz="1000">
              <a:latin typeface="Arial" panose="020B0604020202020204" pitchFamily="34" charset="0"/>
              <a:cs typeface="Arial" panose="020B0604020202020204" pitchFamily="34" charset="0"/>
            </a:rPr>
            <a:t>Governance and Business Services</a:t>
          </a:r>
        </a:p>
      </dgm:t>
    </dgm:pt>
    <dgm:pt modelId="{E84F6D63-50DB-42BA-80E4-6FD7EBB8F43B}" type="parTrans" cxnId="{5F9248B3-82A2-42DD-AA8E-096FF4F0031E}">
      <dgm:prSet/>
      <dgm:spPr/>
      <dgm:t>
        <a:bodyPr/>
        <a:lstStyle/>
        <a:p>
          <a:endParaRPr lang="en-AU" sz="1000">
            <a:latin typeface="Arial" panose="020B0604020202020204" pitchFamily="34" charset="0"/>
            <a:cs typeface="Arial" panose="020B0604020202020204" pitchFamily="34" charset="0"/>
          </a:endParaRPr>
        </a:p>
      </dgm:t>
    </dgm:pt>
    <dgm:pt modelId="{FF7EF5D4-681B-4EA8-8C5D-E46F5241AC06}" type="sibTrans" cxnId="{5F9248B3-82A2-42DD-AA8E-096FF4F0031E}">
      <dgm:prSet/>
      <dgm:spPr/>
      <dgm:t>
        <a:bodyPr/>
        <a:lstStyle/>
        <a:p>
          <a:endParaRPr lang="en-AU" sz="1000">
            <a:latin typeface="Arial" panose="020B0604020202020204" pitchFamily="34" charset="0"/>
            <a:cs typeface="Arial" panose="020B0604020202020204" pitchFamily="34" charset="0"/>
          </a:endParaRPr>
        </a:p>
      </dgm:t>
    </dgm:pt>
    <dgm:pt modelId="{616BD9BC-9154-4EB9-B7BE-D9D0F7E9BE42}" type="pres">
      <dgm:prSet presAssocID="{83E5A514-DFE9-41C9-AF42-12B25E6EF14B}" presName="hierChild1" presStyleCnt="0">
        <dgm:presLayoutVars>
          <dgm:orgChart val="1"/>
          <dgm:chPref val="1"/>
          <dgm:dir/>
          <dgm:animOne val="branch"/>
          <dgm:animLvl val="lvl"/>
          <dgm:resizeHandles/>
        </dgm:presLayoutVars>
      </dgm:prSet>
      <dgm:spPr/>
    </dgm:pt>
    <dgm:pt modelId="{E633C4C6-573E-4F07-B1AF-E63DCFE18FB0}" type="pres">
      <dgm:prSet presAssocID="{C7D4F45B-536B-45EC-ABE5-D2329503A53E}" presName="hierRoot1" presStyleCnt="0">
        <dgm:presLayoutVars>
          <dgm:hierBranch/>
        </dgm:presLayoutVars>
      </dgm:prSet>
      <dgm:spPr/>
    </dgm:pt>
    <dgm:pt modelId="{854FFDEB-822C-4258-B2A0-296439781FD5}" type="pres">
      <dgm:prSet presAssocID="{C7D4F45B-536B-45EC-ABE5-D2329503A53E}" presName="rootComposite1" presStyleCnt="0"/>
      <dgm:spPr/>
    </dgm:pt>
    <dgm:pt modelId="{10A824E2-8BB3-4D36-B966-B583233258AC}" type="pres">
      <dgm:prSet presAssocID="{C7D4F45B-536B-45EC-ABE5-D2329503A53E}" presName="rootText1" presStyleLbl="node0" presStyleIdx="0" presStyleCnt="1" custScaleX="128306">
        <dgm:presLayoutVars>
          <dgm:chPref val="3"/>
        </dgm:presLayoutVars>
      </dgm:prSet>
      <dgm:spPr/>
    </dgm:pt>
    <dgm:pt modelId="{7C1DE6BA-8AD1-434E-BAB2-C1EDD42F6519}" type="pres">
      <dgm:prSet presAssocID="{C7D4F45B-536B-45EC-ABE5-D2329503A53E}" presName="rootConnector1" presStyleLbl="node1" presStyleIdx="0" presStyleCnt="0"/>
      <dgm:spPr/>
    </dgm:pt>
    <dgm:pt modelId="{F37DB5A6-8562-4FB7-9B48-6E783AEF06BE}" type="pres">
      <dgm:prSet presAssocID="{C7D4F45B-536B-45EC-ABE5-D2329503A53E}" presName="hierChild2" presStyleCnt="0"/>
      <dgm:spPr/>
    </dgm:pt>
    <dgm:pt modelId="{DD7B652C-9235-4055-BEA8-ABC7E55B1812}" type="pres">
      <dgm:prSet presAssocID="{3571B748-F696-4621-9DD7-D72E740BDEFD}" presName="Name35" presStyleLbl="parChTrans1D2" presStyleIdx="0" presStyleCnt="1"/>
      <dgm:spPr/>
    </dgm:pt>
    <dgm:pt modelId="{9D4C5F0B-C913-4E64-BD9B-F4DB34B8F539}" type="pres">
      <dgm:prSet presAssocID="{40F2DA7E-1629-4C03-AFD7-DD3C3CF79115}" presName="hierRoot2" presStyleCnt="0">
        <dgm:presLayoutVars>
          <dgm:hierBranch/>
        </dgm:presLayoutVars>
      </dgm:prSet>
      <dgm:spPr/>
    </dgm:pt>
    <dgm:pt modelId="{DF0822A4-A453-4E65-910F-7EC53373ADCB}" type="pres">
      <dgm:prSet presAssocID="{40F2DA7E-1629-4C03-AFD7-DD3C3CF79115}" presName="rootComposite" presStyleCnt="0"/>
      <dgm:spPr/>
    </dgm:pt>
    <dgm:pt modelId="{7C2E98D7-9E1E-4815-93EE-50CA0BFD6CA7}" type="pres">
      <dgm:prSet presAssocID="{40F2DA7E-1629-4C03-AFD7-DD3C3CF79115}" presName="rootText" presStyleLbl="node2" presStyleIdx="0" presStyleCnt="1" custScaleX="128306">
        <dgm:presLayoutVars>
          <dgm:chPref val="3"/>
        </dgm:presLayoutVars>
      </dgm:prSet>
      <dgm:spPr/>
    </dgm:pt>
    <dgm:pt modelId="{0E5D281E-A9D3-4B7B-A021-5E6E16FE1552}" type="pres">
      <dgm:prSet presAssocID="{40F2DA7E-1629-4C03-AFD7-DD3C3CF79115}" presName="rootConnector" presStyleLbl="node2" presStyleIdx="0" presStyleCnt="1"/>
      <dgm:spPr/>
    </dgm:pt>
    <dgm:pt modelId="{64272063-C7A3-4430-9314-A82B39E78EB4}" type="pres">
      <dgm:prSet presAssocID="{40F2DA7E-1629-4C03-AFD7-DD3C3CF79115}" presName="hierChild4" presStyleCnt="0"/>
      <dgm:spPr/>
    </dgm:pt>
    <dgm:pt modelId="{727D3C20-08C3-46E0-9D5F-C25A882902F1}" type="pres">
      <dgm:prSet presAssocID="{0885236D-CA9D-476B-B9BD-4BF7BF1A2CF3}" presName="Name35" presStyleLbl="parChTrans1D3" presStyleIdx="0" presStyleCnt="1"/>
      <dgm:spPr/>
    </dgm:pt>
    <dgm:pt modelId="{8F7D25DF-0E2B-4046-9A84-646C03639204}" type="pres">
      <dgm:prSet presAssocID="{365E757A-DD29-4977-BF38-ABB382697FF5}" presName="hierRoot2" presStyleCnt="0">
        <dgm:presLayoutVars>
          <dgm:hierBranch/>
        </dgm:presLayoutVars>
      </dgm:prSet>
      <dgm:spPr/>
    </dgm:pt>
    <dgm:pt modelId="{F627AB71-7E0C-4EA4-BF1E-D3BD4FC19A59}" type="pres">
      <dgm:prSet presAssocID="{365E757A-DD29-4977-BF38-ABB382697FF5}" presName="rootComposite" presStyleCnt="0"/>
      <dgm:spPr/>
    </dgm:pt>
    <dgm:pt modelId="{7328ADD4-C2FB-4F85-ACD4-BD5F2B142E5F}" type="pres">
      <dgm:prSet presAssocID="{365E757A-DD29-4977-BF38-ABB382697FF5}" presName="rootText" presStyleLbl="node3" presStyleIdx="0" presStyleCnt="1" custScaleX="128306">
        <dgm:presLayoutVars>
          <dgm:chPref val="3"/>
        </dgm:presLayoutVars>
      </dgm:prSet>
      <dgm:spPr/>
    </dgm:pt>
    <dgm:pt modelId="{36FD8BE2-BA4F-4B72-9A44-FA655B666FA5}" type="pres">
      <dgm:prSet presAssocID="{365E757A-DD29-4977-BF38-ABB382697FF5}" presName="rootConnector" presStyleLbl="node3" presStyleIdx="0" presStyleCnt="1"/>
      <dgm:spPr/>
    </dgm:pt>
    <dgm:pt modelId="{7A6C457B-43DE-4A94-98BA-61E56DF90454}" type="pres">
      <dgm:prSet presAssocID="{365E757A-DD29-4977-BF38-ABB382697FF5}" presName="hierChild4" presStyleCnt="0"/>
      <dgm:spPr/>
    </dgm:pt>
    <dgm:pt modelId="{E9968626-001D-41AC-ACD6-051EE3D569AF}" type="pres">
      <dgm:prSet presAssocID="{FBB59316-5C41-4D74-8DE4-DBF6E9FE9474}" presName="Name35" presStyleLbl="parChTrans1D4" presStyleIdx="0" presStyleCnt="6"/>
      <dgm:spPr/>
    </dgm:pt>
    <dgm:pt modelId="{DC3031E9-5475-471A-BBD9-F528D63EB525}" type="pres">
      <dgm:prSet presAssocID="{C3191E00-DBD0-4516-A9F3-753731544B83}" presName="hierRoot2" presStyleCnt="0">
        <dgm:presLayoutVars>
          <dgm:hierBranch/>
        </dgm:presLayoutVars>
      </dgm:prSet>
      <dgm:spPr/>
    </dgm:pt>
    <dgm:pt modelId="{EE7BD3EC-8BD2-4E9A-8039-737B4D20FA39}" type="pres">
      <dgm:prSet presAssocID="{C3191E00-DBD0-4516-A9F3-753731544B83}" presName="rootComposite" presStyleCnt="0"/>
      <dgm:spPr/>
    </dgm:pt>
    <dgm:pt modelId="{917C8433-DBEF-4007-8302-5B2EB06D96BF}" type="pres">
      <dgm:prSet presAssocID="{C3191E00-DBD0-4516-A9F3-753731544B83}" presName="rootText" presStyleLbl="node4" presStyleIdx="0" presStyleCnt="6" custScaleX="128306">
        <dgm:presLayoutVars>
          <dgm:chPref val="3"/>
        </dgm:presLayoutVars>
      </dgm:prSet>
      <dgm:spPr/>
    </dgm:pt>
    <dgm:pt modelId="{FEFA5CF4-C8B7-4203-9079-5EBF2E3EB0FE}" type="pres">
      <dgm:prSet presAssocID="{C3191E00-DBD0-4516-A9F3-753731544B83}" presName="rootConnector" presStyleLbl="node4" presStyleIdx="0" presStyleCnt="6"/>
      <dgm:spPr/>
    </dgm:pt>
    <dgm:pt modelId="{3E86FF03-47AD-409D-B2DA-6105B982EA7C}" type="pres">
      <dgm:prSet presAssocID="{C3191E00-DBD0-4516-A9F3-753731544B83}" presName="hierChild4" presStyleCnt="0"/>
      <dgm:spPr/>
    </dgm:pt>
    <dgm:pt modelId="{9E7CDAE9-5BB7-4601-B7CD-933D9DB267F0}" type="pres">
      <dgm:prSet presAssocID="{B4C8837D-319D-4B2F-9A4D-D9799B66DC4D}" presName="Name35" presStyleLbl="parChTrans1D4" presStyleIdx="1" presStyleCnt="6"/>
      <dgm:spPr/>
    </dgm:pt>
    <dgm:pt modelId="{D1076358-7C1C-45C8-BECA-3B22367A8CC9}" type="pres">
      <dgm:prSet presAssocID="{6F7BB68D-D842-4996-9456-4EE7DAE07C01}" presName="hierRoot2" presStyleCnt="0">
        <dgm:presLayoutVars>
          <dgm:hierBranch/>
        </dgm:presLayoutVars>
      </dgm:prSet>
      <dgm:spPr/>
    </dgm:pt>
    <dgm:pt modelId="{E08EE0D5-B1B1-4D96-8BB4-0A264686E294}" type="pres">
      <dgm:prSet presAssocID="{6F7BB68D-D842-4996-9456-4EE7DAE07C01}" presName="rootComposite" presStyleCnt="0"/>
      <dgm:spPr/>
    </dgm:pt>
    <dgm:pt modelId="{C7625CD0-4926-4566-8952-EEADC4F6FF98}" type="pres">
      <dgm:prSet presAssocID="{6F7BB68D-D842-4996-9456-4EE7DAE07C01}" presName="rootText" presStyleLbl="node4" presStyleIdx="1" presStyleCnt="6" custScaleX="125186" custLinFactNeighborX="-13" custLinFactNeighborY="18053">
        <dgm:presLayoutVars>
          <dgm:chPref val="3"/>
        </dgm:presLayoutVars>
      </dgm:prSet>
      <dgm:spPr/>
    </dgm:pt>
    <dgm:pt modelId="{7766166B-623A-4CF9-A782-14515EC8A6F0}" type="pres">
      <dgm:prSet presAssocID="{6F7BB68D-D842-4996-9456-4EE7DAE07C01}" presName="rootConnector" presStyleLbl="node4" presStyleIdx="1" presStyleCnt="6"/>
      <dgm:spPr/>
    </dgm:pt>
    <dgm:pt modelId="{27E0B72A-C8D5-430A-91F7-B705A9B49DA3}" type="pres">
      <dgm:prSet presAssocID="{6F7BB68D-D842-4996-9456-4EE7DAE07C01}" presName="hierChild4" presStyleCnt="0"/>
      <dgm:spPr/>
    </dgm:pt>
    <dgm:pt modelId="{24A20F86-6A84-4797-BD4F-796CC959BC5D}" type="pres">
      <dgm:prSet presAssocID="{6F7BB68D-D842-4996-9456-4EE7DAE07C01}" presName="hierChild5" presStyleCnt="0"/>
      <dgm:spPr/>
    </dgm:pt>
    <dgm:pt modelId="{F0916934-E6BB-42AF-BE11-5412F6D1467F}" type="pres">
      <dgm:prSet presAssocID="{AE00CA81-0462-4E62-B6EF-5A956CEE03BA}" presName="Name35" presStyleLbl="parChTrans1D4" presStyleIdx="2" presStyleCnt="6"/>
      <dgm:spPr/>
    </dgm:pt>
    <dgm:pt modelId="{5E0BCE0E-67B3-4C9F-A1D1-13A98B89FC58}" type="pres">
      <dgm:prSet presAssocID="{7439A268-24E1-4426-8DB6-168972DE3B55}" presName="hierRoot2" presStyleCnt="0">
        <dgm:presLayoutVars>
          <dgm:hierBranch/>
        </dgm:presLayoutVars>
      </dgm:prSet>
      <dgm:spPr/>
    </dgm:pt>
    <dgm:pt modelId="{851EA3F5-ACC6-4A2E-AADF-3812D740C7EA}" type="pres">
      <dgm:prSet presAssocID="{7439A268-24E1-4426-8DB6-168972DE3B55}" presName="rootComposite" presStyleCnt="0"/>
      <dgm:spPr/>
    </dgm:pt>
    <dgm:pt modelId="{6B652F76-4F44-497E-ACAB-81B3BCF09606}" type="pres">
      <dgm:prSet presAssocID="{7439A268-24E1-4426-8DB6-168972DE3B55}" presName="rootText" presStyleLbl="node4" presStyleIdx="2" presStyleCnt="6" custScaleX="125205" custLinFactNeighborX="-13" custLinFactNeighborY="18053">
        <dgm:presLayoutVars>
          <dgm:chPref val="3"/>
        </dgm:presLayoutVars>
      </dgm:prSet>
      <dgm:spPr/>
    </dgm:pt>
    <dgm:pt modelId="{1755D2B5-254D-4C3E-86B2-DA997B2FCC0C}" type="pres">
      <dgm:prSet presAssocID="{7439A268-24E1-4426-8DB6-168972DE3B55}" presName="rootConnector" presStyleLbl="node4" presStyleIdx="2" presStyleCnt="6"/>
      <dgm:spPr/>
    </dgm:pt>
    <dgm:pt modelId="{DA09A411-AD47-4744-B2E6-E5670523AC36}" type="pres">
      <dgm:prSet presAssocID="{7439A268-24E1-4426-8DB6-168972DE3B55}" presName="hierChild4" presStyleCnt="0"/>
      <dgm:spPr/>
    </dgm:pt>
    <dgm:pt modelId="{E6D59676-3AA5-4347-87C3-DCCFC4AE67CA}" type="pres">
      <dgm:prSet presAssocID="{7439A268-24E1-4426-8DB6-168972DE3B55}" presName="hierChild5" presStyleCnt="0"/>
      <dgm:spPr/>
    </dgm:pt>
    <dgm:pt modelId="{255C0A9F-D135-4680-AD0C-2FA3490FB292}" type="pres">
      <dgm:prSet presAssocID="{B4947579-4572-4D1D-869F-A9942986019F}" presName="Name35" presStyleLbl="parChTrans1D4" presStyleIdx="3" presStyleCnt="6"/>
      <dgm:spPr/>
    </dgm:pt>
    <dgm:pt modelId="{3E92C30C-D8A0-4F24-B6AA-5FD13DC8DB92}" type="pres">
      <dgm:prSet presAssocID="{16BB19A5-C7B0-4180-B1D1-0A620098452F}" presName="hierRoot2" presStyleCnt="0">
        <dgm:presLayoutVars>
          <dgm:hierBranch/>
        </dgm:presLayoutVars>
      </dgm:prSet>
      <dgm:spPr/>
    </dgm:pt>
    <dgm:pt modelId="{15B36C0F-6B3E-405C-938C-8210753B79AB}" type="pres">
      <dgm:prSet presAssocID="{16BB19A5-C7B0-4180-B1D1-0A620098452F}" presName="rootComposite" presStyleCnt="0"/>
      <dgm:spPr/>
    </dgm:pt>
    <dgm:pt modelId="{A637A9B2-64C4-4C79-9AA5-D224D4EF923D}" type="pres">
      <dgm:prSet presAssocID="{16BB19A5-C7B0-4180-B1D1-0A620098452F}" presName="rootText" presStyleLbl="node4" presStyleIdx="3" presStyleCnt="6" custScaleX="125205" custLinFactNeighborX="-13" custLinFactNeighborY="18053">
        <dgm:presLayoutVars>
          <dgm:chPref val="3"/>
        </dgm:presLayoutVars>
      </dgm:prSet>
      <dgm:spPr/>
    </dgm:pt>
    <dgm:pt modelId="{3D6C9941-F9C8-4705-AEB8-1085C4B7A17E}" type="pres">
      <dgm:prSet presAssocID="{16BB19A5-C7B0-4180-B1D1-0A620098452F}" presName="rootConnector" presStyleLbl="node4" presStyleIdx="3" presStyleCnt="6"/>
      <dgm:spPr/>
    </dgm:pt>
    <dgm:pt modelId="{363E3F4A-F1DB-4974-B449-51F5A71E0472}" type="pres">
      <dgm:prSet presAssocID="{16BB19A5-C7B0-4180-B1D1-0A620098452F}" presName="hierChild4" presStyleCnt="0"/>
      <dgm:spPr/>
    </dgm:pt>
    <dgm:pt modelId="{A3AF0820-5EAE-4B30-A2F2-B288D9894E09}" type="pres">
      <dgm:prSet presAssocID="{16BB19A5-C7B0-4180-B1D1-0A620098452F}" presName="hierChild5" presStyleCnt="0"/>
      <dgm:spPr/>
    </dgm:pt>
    <dgm:pt modelId="{797FD04D-C52B-4513-AFB5-22E65151BAF3}" type="pres">
      <dgm:prSet presAssocID="{76AC0D47-8927-48A9-AF24-1BBBD2E40FED}" presName="Name35" presStyleLbl="parChTrans1D4" presStyleIdx="4" presStyleCnt="6"/>
      <dgm:spPr/>
    </dgm:pt>
    <dgm:pt modelId="{0C764281-1048-4D63-92BF-A31C0F75E98D}" type="pres">
      <dgm:prSet presAssocID="{322BC93F-4A4A-474D-9ACA-C3C4E9CD4794}" presName="hierRoot2" presStyleCnt="0">
        <dgm:presLayoutVars>
          <dgm:hierBranch/>
        </dgm:presLayoutVars>
      </dgm:prSet>
      <dgm:spPr/>
    </dgm:pt>
    <dgm:pt modelId="{2AEAFEF6-D01A-410C-9342-31A6F8E76B4C}" type="pres">
      <dgm:prSet presAssocID="{322BC93F-4A4A-474D-9ACA-C3C4E9CD4794}" presName="rootComposite" presStyleCnt="0"/>
      <dgm:spPr/>
    </dgm:pt>
    <dgm:pt modelId="{EA51BA49-97EE-410D-A665-D3A093076A09}" type="pres">
      <dgm:prSet presAssocID="{322BC93F-4A4A-474D-9ACA-C3C4E9CD4794}" presName="rootText" presStyleLbl="node4" presStyleIdx="4" presStyleCnt="6" custScaleX="125205" custLinFactNeighborX="-13" custLinFactNeighborY="18053">
        <dgm:presLayoutVars>
          <dgm:chPref val="3"/>
        </dgm:presLayoutVars>
      </dgm:prSet>
      <dgm:spPr/>
    </dgm:pt>
    <dgm:pt modelId="{08906720-B8E3-4BE6-8CEF-3D547B7D186A}" type="pres">
      <dgm:prSet presAssocID="{322BC93F-4A4A-474D-9ACA-C3C4E9CD4794}" presName="rootConnector" presStyleLbl="node4" presStyleIdx="4" presStyleCnt="6"/>
      <dgm:spPr/>
    </dgm:pt>
    <dgm:pt modelId="{2C220EC1-01B6-4C47-B008-20EE3FEEFCD5}" type="pres">
      <dgm:prSet presAssocID="{322BC93F-4A4A-474D-9ACA-C3C4E9CD4794}" presName="hierChild4" presStyleCnt="0"/>
      <dgm:spPr/>
    </dgm:pt>
    <dgm:pt modelId="{9819CC89-3A51-460F-9DBC-65AE5DFDFB9A}" type="pres">
      <dgm:prSet presAssocID="{322BC93F-4A4A-474D-9ACA-C3C4E9CD4794}" presName="hierChild5" presStyleCnt="0"/>
      <dgm:spPr/>
    </dgm:pt>
    <dgm:pt modelId="{CBE079EE-11A5-4911-83EA-816F88E25955}" type="pres">
      <dgm:prSet presAssocID="{E84F6D63-50DB-42BA-80E4-6FD7EBB8F43B}" presName="Name35" presStyleLbl="parChTrans1D4" presStyleIdx="5" presStyleCnt="6"/>
      <dgm:spPr/>
    </dgm:pt>
    <dgm:pt modelId="{468B8D79-AAD8-4DC6-B920-23D7AEF5D74E}" type="pres">
      <dgm:prSet presAssocID="{26A9D297-271F-4846-AC73-86830E506AC1}" presName="hierRoot2" presStyleCnt="0">
        <dgm:presLayoutVars>
          <dgm:hierBranch/>
        </dgm:presLayoutVars>
      </dgm:prSet>
      <dgm:spPr/>
    </dgm:pt>
    <dgm:pt modelId="{90EDEA5B-423C-45FB-8157-FCFD83F15D5C}" type="pres">
      <dgm:prSet presAssocID="{26A9D297-271F-4846-AC73-86830E506AC1}" presName="rootComposite" presStyleCnt="0"/>
      <dgm:spPr/>
    </dgm:pt>
    <dgm:pt modelId="{50C6A103-15B0-4406-8F7D-472DB74F6932}" type="pres">
      <dgm:prSet presAssocID="{26A9D297-271F-4846-AC73-86830E506AC1}" presName="rootText" presStyleLbl="node4" presStyleIdx="5" presStyleCnt="6" custScaleX="125205" custLinFactNeighborX="-13" custLinFactNeighborY="18053">
        <dgm:presLayoutVars>
          <dgm:chPref val="3"/>
        </dgm:presLayoutVars>
      </dgm:prSet>
      <dgm:spPr/>
    </dgm:pt>
    <dgm:pt modelId="{B7023674-F928-4D5D-B0F2-D5B3F9E60D26}" type="pres">
      <dgm:prSet presAssocID="{26A9D297-271F-4846-AC73-86830E506AC1}" presName="rootConnector" presStyleLbl="node4" presStyleIdx="5" presStyleCnt="6"/>
      <dgm:spPr/>
    </dgm:pt>
    <dgm:pt modelId="{93D3E89C-FBC8-4C27-8B2E-2DDDC9C970D2}" type="pres">
      <dgm:prSet presAssocID="{26A9D297-271F-4846-AC73-86830E506AC1}" presName="hierChild4" presStyleCnt="0"/>
      <dgm:spPr/>
    </dgm:pt>
    <dgm:pt modelId="{5A7151BC-29B8-4666-8D87-92717ABCC9A2}" type="pres">
      <dgm:prSet presAssocID="{26A9D297-271F-4846-AC73-86830E506AC1}" presName="hierChild5" presStyleCnt="0"/>
      <dgm:spPr/>
    </dgm:pt>
    <dgm:pt modelId="{FBCA10DC-7B6F-407C-8A5E-F6747A0CE783}" type="pres">
      <dgm:prSet presAssocID="{C3191E00-DBD0-4516-A9F3-753731544B83}" presName="hierChild5" presStyleCnt="0"/>
      <dgm:spPr/>
    </dgm:pt>
    <dgm:pt modelId="{C2EE48BB-C885-42B6-9745-77BDC3A15A8D}" type="pres">
      <dgm:prSet presAssocID="{365E757A-DD29-4977-BF38-ABB382697FF5}" presName="hierChild5" presStyleCnt="0"/>
      <dgm:spPr/>
    </dgm:pt>
    <dgm:pt modelId="{48FB4757-A7F9-4579-BBEB-B7F8ED1AAC1B}" type="pres">
      <dgm:prSet presAssocID="{40F2DA7E-1629-4C03-AFD7-DD3C3CF79115}" presName="hierChild5" presStyleCnt="0"/>
      <dgm:spPr/>
    </dgm:pt>
    <dgm:pt modelId="{19FE659F-E83C-4030-9D75-FB48C20775EE}" type="pres">
      <dgm:prSet presAssocID="{C7D4F45B-536B-45EC-ABE5-D2329503A53E}" presName="hierChild3" presStyleCnt="0"/>
      <dgm:spPr/>
    </dgm:pt>
  </dgm:ptLst>
  <dgm:cxnLst>
    <dgm:cxn modelId="{891FB60A-7471-4B8C-83E2-C7BB88315815}" type="presOf" srcId="{7439A268-24E1-4426-8DB6-168972DE3B55}" destId="{6B652F76-4F44-497E-ACAB-81B3BCF09606}" srcOrd="0" destOrd="0" presId="urn:microsoft.com/office/officeart/2005/8/layout/orgChart1"/>
    <dgm:cxn modelId="{2640F10E-B4FE-4652-A683-4D629545DF68}" type="presOf" srcId="{322BC93F-4A4A-474D-9ACA-C3C4E9CD4794}" destId="{08906720-B8E3-4BE6-8CEF-3D547B7D186A}" srcOrd="1" destOrd="0" presId="urn:microsoft.com/office/officeart/2005/8/layout/orgChart1"/>
    <dgm:cxn modelId="{A1A75F11-9F34-41FA-90F5-99D5231CD74F}" srcId="{40F2DA7E-1629-4C03-AFD7-DD3C3CF79115}" destId="{365E757A-DD29-4977-BF38-ABB382697FF5}" srcOrd="0" destOrd="0" parTransId="{0885236D-CA9D-476B-B9BD-4BF7BF1A2CF3}" sibTransId="{033AA7B2-3DFF-4E17-AD79-495A1F3174C3}"/>
    <dgm:cxn modelId="{85B6F912-2903-44D8-88BB-5EC22ADEC920}" type="presOf" srcId="{76AC0D47-8927-48A9-AF24-1BBBD2E40FED}" destId="{797FD04D-C52B-4513-AFB5-22E65151BAF3}" srcOrd="0" destOrd="0" presId="urn:microsoft.com/office/officeart/2005/8/layout/orgChart1"/>
    <dgm:cxn modelId="{6C225614-9267-4FC4-A19D-D81451EEA944}" type="presOf" srcId="{3571B748-F696-4621-9DD7-D72E740BDEFD}" destId="{DD7B652C-9235-4055-BEA8-ABC7E55B1812}" srcOrd="0" destOrd="0" presId="urn:microsoft.com/office/officeart/2005/8/layout/orgChart1"/>
    <dgm:cxn modelId="{84DCC016-671A-44C4-A9BA-DFE402B1B287}" type="presOf" srcId="{7439A268-24E1-4426-8DB6-168972DE3B55}" destId="{1755D2B5-254D-4C3E-86B2-DA997B2FCC0C}" srcOrd="1" destOrd="0" presId="urn:microsoft.com/office/officeart/2005/8/layout/orgChart1"/>
    <dgm:cxn modelId="{4EA8E11D-2884-4C81-B755-095DDE0BB78C}" type="presOf" srcId="{0885236D-CA9D-476B-B9BD-4BF7BF1A2CF3}" destId="{727D3C20-08C3-46E0-9D5F-C25A882902F1}" srcOrd="0" destOrd="0" presId="urn:microsoft.com/office/officeart/2005/8/layout/orgChart1"/>
    <dgm:cxn modelId="{655A7922-ED46-43F4-A6AA-54A5075023CE}" type="presOf" srcId="{365E757A-DD29-4977-BF38-ABB382697FF5}" destId="{36FD8BE2-BA4F-4B72-9A44-FA655B666FA5}" srcOrd="1" destOrd="0" presId="urn:microsoft.com/office/officeart/2005/8/layout/orgChart1"/>
    <dgm:cxn modelId="{57FB3224-7274-4F9B-B95A-6C19C9C81DAD}" type="presOf" srcId="{C3191E00-DBD0-4516-A9F3-753731544B83}" destId="{FEFA5CF4-C8B7-4203-9079-5EBF2E3EB0FE}" srcOrd="1" destOrd="0" presId="urn:microsoft.com/office/officeart/2005/8/layout/orgChart1"/>
    <dgm:cxn modelId="{B371E22F-FB63-4066-8E4F-4615D0EDCC59}" srcId="{C3191E00-DBD0-4516-A9F3-753731544B83}" destId="{6F7BB68D-D842-4996-9456-4EE7DAE07C01}" srcOrd="0" destOrd="0" parTransId="{B4C8837D-319D-4B2F-9A4D-D9799B66DC4D}" sibTransId="{02824AF2-CBB1-4FB3-A233-5957ED5B910A}"/>
    <dgm:cxn modelId="{DE1EFA38-B522-4900-904F-6A749C5B3B7F}" srcId="{365E757A-DD29-4977-BF38-ABB382697FF5}" destId="{C3191E00-DBD0-4516-A9F3-753731544B83}" srcOrd="0" destOrd="0" parTransId="{FBB59316-5C41-4D74-8DE4-DBF6E9FE9474}" sibTransId="{3D69A152-5BB8-4929-BE28-96C569878E78}"/>
    <dgm:cxn modelId="{64C9383C-9964-491F-B734-719C8BAB9414}" type="presOf" srcId="{FBB59316-5C41-4D74-8DE4-DBF6E9FE9474}" destId="{E9968626-001D-41AC-ACD6-051EE3D569AF}" srcOrd="0" destOrd="0" presId="urn:microsoft.com/office/officeart/2005/8/layout/orgChart1"/>
    <dgm:cxn modelId="{3B94A93F-29AA-4CA7-9722-3B7B2DA3A4E5}" type="presOf" srcId="{322BC93F-4A4A-474D-9ACA-C3C4E9CD4794}" destId="{EA51BA49-97EE-410D-A665-D3A093076A09}" srcOrd="0" destOrd="0" presId="urn:microsoft.com/office/officeart/2005/8/layout/orgChart1"/>
    <dgm:cxn modelId="{51437063-F02F-4F95-973D-575353D14789}" type="presOf" srcId="{40F2DA7E-1629-4C03-AFD7-DD3C3CF79115}" destId="{7C2E98D7-9E1E-4815-93EE-50CA0BFD6CA7}" srcOrd="0" destOrd="0" presId="urn:microsoft.com/office/officeart/2005/8/layout/orgChart1"/>
    <dgm:cxn modelId="{99B5FF44-32AA-420B-B4A5-69D313D73124}" type="presOf" srcId="{C7D4F45B-536B-45EC-ABE5-D2329503A53E}" destId="{7C1DE6BA-8AD1-434E-BAB2-C1EDD42F6519}" srcOrd="1" destOrd="0" presId="urn:microsoft.com/office/officeart/2005/8/layout/orgChart1"/>
    <dgm:cxn modelId="{E727A84B-6DD6-4181-A077-DFA8F58CF25E}" type="presOf" srcId="{16BB19A5-C7B0-4180-B1D1-0A620098452F}" destId="{3D6C9941-F9C8-4705-AEB8-1085C4B7A17E}" srcOrd="1" destOrd="0" presId="urn:microsoft.com/office/officeart/2005/8/layout/orgChart1"/>
    <dgm:cxn modelId="{0773F86B-F275-4F2B-9BCA-EB2E15DA1983}" srcId="{C7D4F45B-536B-45EC-ABE5-D2329503A53E}" destId="{40F2DA7E-1629-4C03-AFD7-DD3C3CF79115}" srcOrd="0" destOrd="0" parTransId="{3571B748-F696-4621-9DD7-D72E740BDEFD}" sibTransId="{BB5CB8EF-FF13-4994-A2E4-0CC2B70B9CE0}"/>
    <dgm:cxn modelId="{B01D314C-22F3-41F8-95F8-3DF20C5993AC}" type="presOf" srcId="{C3191E00-DBD0-4516-A9F3-753731544B83}" destId="{917C8433-DBEF-4007-8302-5B2EB06D96BF}" srcOrd="0" destOrd="0" presId="urn:microsoft.com/office/officeart/2005/8/layout/orgChart1"/>
    <dgm:cxn modelId="{C5E23973-53BD-495D-8A9C-9A422ECC3389}" srcId="{C3191E00-DBD0-4516-A9F3-753731544B83}" destId="{322BC93F-4A4A-474D-9ACA-C3C4E9CD4794}" srcOrd="3" destOrd="0" parTransId="{76AC0D47-8927-48A9-AF24-1BBBD2E40FED}" sibTransId="{CA0262D6-92ED-42E5-A935-C33CF6C9CBED}"/>
    <dgm:cxn modelId="{CCF28778-E92B-4DA2-83BC-78B739596D9A}" type="presOf" srcId="{B4C8837D-319D-4B2F-9A4D-D9799B66DC4D}" destId="{9E7CDAE9-5BB7-4601-B7CD-933D9DB267F0}" srcOrd="0" destOrd="0" presId="urn:microsoft.com/office/officeart/2005/8/layout/orgChart1"/>
    <dgm:cxn modelId="{AE4C0D7B-9032-4796-A094-8029A428653B}" type="presOf" srcId="{26A9D297-271F-4846-AC73-86830E506AC1}" destId="{50C6A103-15B0-4406-8F7D-472DB74F6932}" srcOrd="0" destOrd="0" presId="urn:microsoft.com/office/officeart/2005/8/layout/orgChart1"/>
    <dgm:cxn modelId="{A7500D85-2685-4D57-85DF-DCA87EF6BE32}" type="presOf" srcId="{6F7BB68D-D842-4996-9456-4EE7DAE07C01}" destId="{7766166B-623A-4CF9-A782-14515EC8A6F0}" srcOrd="1" destOrd="0" presId="urn:microsoft.com/office/officeart/2005/8/layout/orgChart1"/>
    <dgm:cxn modelId="{ADEEC793-9B65-4E60-A2AB-69CEEF2E3DF5}" type="presOf" srcId="{AE00CA81-0462-4E62-B6EF-5A956CEE03BA}" destId="{F0916934-E6BB-42AF-BE11-5412F6D1467F}" srcOrd="0" destOrd="0" presId="urn:microsoft.com/office/officeart/2005/8/layout/orgChart1"/>
    <dgm:cxn modelId="{19D9ED9A-2863-46BE-BDB7-43BB357D4F69}" type="presOf" srcId="{E84F6D63-50DB-42BA-80E4-6FD7EBB8F43B}" destId="{CBE079EE-11A5-4911-83EA-816F88E25955}" srcOrd="0" destOrd="0" presId="urn:microsoft.com/office/officeart/2005/8/layout/orgChart1"/>
    <dgm:cxn modelId="{9D00B7AF-E91F-45F6-85DA-5318E6326DE4}" type="presOf" srcId="{40F2DA7E-1629-4C03-AFD7-DD3C3CF79115}" destId="{0E5D281E-A9D3-4B7B-A021-5E6E16FE1552}" srcOrd="1" destOrd="0" presId="urn:microsoft.com/office/officeart/2005/8/layout/orgChart1"/>
    <dgm:cxn modelId="{CB17C4B1-B716-4FF2-9784-8CD3EF67FBE3}" type="presOf" srcId="{C7D4F45B-536B-45EC-ABE5-D2329503A53E}" destId="{10A824E2-8BB3-4D36-B966-B583233258AC}" srcOrd="0" destOrd="0" presId="urn:microsoft.com/office/officeart/2005/8/layout/orgChart1"/>
    <dgm:cxn modelId="{5F9248B3-82A2-42DD-AA8E-096FF4F0031E}" srcId="{C3191E00-DBD0-4516-A9F3-753731544B83}" destId="{26A9D297-271F-4846-AC73-86830E506AC1}" srcOrd="4" destOrd="0" parTransId="{E84F6D63-50DB-42BA-80E4-6FD7EBB8F43B}" sibTransId="{FF7EF5D4-681B-4EA8-8C5D-E46F5241AC06}"/>
    <dgm:cxn modelId="{9F4397B4-BB3F-4C3C-9B37-83132398FBC5}" type="presOf" srcId="{83E5A514-DFE9-41C9-AF42-12B25E6EF14B}" destId="{616BD9BC-9154-4EB9-B7BE-D9D0F7E9BE42}" srcOrd="0" destOrd="0" presId="urn:microsoft.com/office/officeart/2005/8/layout/orgChart1"/>
    <dgm:cxn modelId="{8CDFD4B7-A838-4061-A355-6E9A52FF90F0}" type="presOf" srcId="{365E757A-DD29-4977-BF38-ABB382697FF5}" destId="{7328ADD4-C2FB-4F85-ACD4-BD5F2B142E5F}" srcOrd="0" destOrd="0" presId="urn:microsoft.com/office/officeart/2005/8/layout/orgChart1"/>
    <dgm:cxn modelId="{5F40CBB8-9518-4037-9F4B-305937151AD3}" srcId="{C3191E00-DBD0-4516-A9F3-753731544B83}" destId="{16BB19A5-C7B0-4180-B1D1-0A620098452F}" srcOrd="2" destOrd="0" parTransId="{B4947579-4572-4D1D-869F-A9942986019F}" sibTransId="{7E34B26A-1477-4C5F-BB1A-3524171DCE2A}"/>
    <dgm:cxn modelId="{351033C0-D7CE-425B-B3BE-763B957CCCA4}" srcId="{83E5A514-DFE9-41C9-AF42-12B25E6EF14B}" destId="{C7D4F45B-536B-45EC-ABE5-D2329503A53E}" srcOrd="0" destOrd="0" parTransId="{5EA08AA2-4FB0-4051-8655-FF77A55E3EE9}" sibTransId="{E6336DB9-E341-4953-BCBA-314227491672}"/>
    <dgm:cxn modelId="{99918ECD-B222-4C1A-BD84-6F5365F92475}" type="presOf" srcId="{6F7BB68D-D842-4996-9456-4EE7DAE07C01}" destId="{C7625CD0-4926-4566-8952-EEADC4F6FF98}" srcOrd="0" destOrd="0" presId="urn:microsoft.com/office/officeart/2005/8/layout/orgChart1"/>
    <dgm:cxn modelId="{7A2DF4D3-4E26-435E-AFBD-6EC67B39BF82}" type="presOf" srcId="{26A9D297-271F-4846-AC73-86830E506AC1}" destId="{B7023674-F928-4D5D-B0F2-D5B3F9E60D26}" srcOrd="1" destOrd="0" presId="urn:microsoft.com/office/officeart/2005/8/layout/orgChart1"/>
    <dgm:cxn modelId="{2073B3DD-3EA0-4C59-A8C2-A7C851215DB4}" type="presOf" srcId="{B4947579-4572-4D1D-869F-A9942986019F}" destId="{255C0A9F-D135-4680-AD0C-2FA3490FB292}" srcOrd="0" destOrd="0" presId="urn:microsoft.com/office/officeart/2005/8/layout/orgChart1"/>
    <dgm:cxn modelId="{02035CEF-9F62-421D-99AA-D0E80F7B802D}" srcId="{C3191E00-DBD0-4516-A9F3-753731544B83}" destId="{7439A268-24E1-4426-8DB6-168972DE3B55}" srcOrd="1" destOrd="0" parTransId="{AE00CA81-0462-4E62-B6EF-5A956CEE03BA}" sibTransId="{274CC4E8-9F8F-4206-B0AB-EA25CFB61279}"/>
    <dgm:cxn modelId="{79B787F0-3E8D-4B7F-B638-10C4EE39A7C9}" type="presOf" srcId="{16BB19A5-C7B0-4180-B1D1-0A620098452F}" destId="{A637A9B2-64C4-4C79-9AA5-D224D4EF923D}" srcOrd="0" destOrd="0" presId="urn:microsoft.com/office/officeart/2005/8/layout/orgChart1"/>
    <dgm:cxn modelId="{CBE6DC68-EA90-4F57-9614-10A038489A00}" type="presParOf" srcId="{616BD9BC-9154-4EB9-B7BE-D9D0F7E9BE42}" destId="{E633C4C6-573E-4F07-B1AF-E63DCFE18FB0}" srcOrd="0" destOrd="0" presId="urn:microsoft.com/office/officeart/2005/8/layout/orgChart1"/>
    <dgm:cxn modelId="{7093E74D-B3EA-4E33-B790-09BF0664A262}" type="presParOf" srcId="{E633C4C6-573E-4F07-B1AF-E63DCFE18FB0}" destId="{854FFDEB-822C-4258-B2A0-296439781FD5}" srcOrd="0" destOrd="0" presId="urn:microsoft.com/office/officeart/2005/8/layout/orgChart1"/>
    <dgm:cxn modelId="{0146A03A-8C83-4227-AB6B-F7EAC6C8728B}" type="presParOf" srcId="{854FFDEB-822C-4258-B2A0-296439781FD5}" destId="{10A824E2-8BB3-4D36-B966-B583233258AC}" srcOrd="0" destOrd="0" presId="urn:microsoft.com/office/officeart/2005/8/layout/orgChart1"/>
    <dgm:cxn modelId="{2A6C11DB-C4EB-4188-B81C-0DA7452002CD}" type="presParOf" srcId="{854FFDEB-822C-4258-B2A0-296439781FD5}" destId="{7C1DE6BA-8AD1-434E-BAB2-C1EDD42F6519}" srcOrd="1" destOrd="0" presId="urn:microsoft.com/office/officeart/2005/8/layout/orgChart1"/>
    <dgm:cxn modelId="{159A939E-23D6-435A-B705-1768C0AD981B}" type="presParOf" srcId="{E633C4C6-573E-4F07-B1AF-E63DCFE18FB0}" destId="{F37DB5A6-8562-4FB7-9B48-6E783AEF06BE}" srcOrd="1" destOrd="0" presId="urn:microsoft.com/office/officeart/2005/8/layout/orgChart1"/>
    <dgm:cxn modelId="{ED6188DB-88DD-4156-9CFC-2AE1F6A85074}" type="presParOf" srcId="{F37DB5A6-8562-4FB7-9B48-6E783AEF06BE}" destId="{DD7B652C-9235-4055-BEA8-ABC7E55B1812}" srcOrd="0" destOrd="0" presId="urn:microsoft.com/office/officeart/2005/8/layout/orgChart1"/>
    <dgm:cxn modelId="{B473F507-C4ED-4A71-918A-A71B4C9CAAC3}" type="presParOf" srcId="{F37DB5A6-8562-4FB7-9B48-6E783AEF06BE}" destId="{9D4C5F0B-C913-4E64-BD9B-F4DB34B8F539}" srcOrd="1" destOrd="0" presId="urn:microsoft.com/office/officeart/2005/8/layout/orgChart1"/>
    <dgm:cxn modelId="{408F4D7D-5B22-4261-953E-C6CC12350216}" type="presParOf" srcId="{9D4C5F0B-C913-4E64-BD9B-F4DB34B8F539}" destId="{DF0822A4-A453-4E65-910F-7EC53373ADCB}" srcOrd="0" destOrd="0" presId="urn:microsoft.com/office/officeart/2005/8/layout/orgChart1"/>
    <dgm:cxn modelId="{31C36F61-08AE-434C-A510-93A2AB7340C7}" type="presParOf" srcId="{DF0822A4-A453-4E65-910F-7EC53373ADCB}" destId="{7C2E98D7-9E1E-4815-93EE-50CA0BFD6CA7}" srcOrd="0" destOrd="0" presId="urn:microsoft.com/office/officeart/2005/8/layout/orgChart1"/>
    <dgm:cxn modelId="{9BB89DDB-7DCC-410A-B033-959BF4F3DE5B}" type="presParOf" srcId="{DF0822A4-A453-4E65-910F-7EC53373ADCB}" destId="{0E5D281E-A9D3-4B7B-A021-5E6E16FE1552}" srcOrd="1" destOrd="0" presId="urn:microsoft.com/office/officeart/2005/8/layout/orgChart1"/>
    <dgm:cxn modelId="{7D6DB6DC-4E77-4862-8111-8F985BC8136E}" type="presParOf" srcId="{9D4C5F0B-C913-4E64-BD9B-F4DB34B8F539}" destId="{64272063-C7A3-4430-9314-A82B39E78EB4}" srcOrd="1" destOrd="0" presId="urn:microsoft.com/office/officeart/2005/8/layout/orgChart1"/>
    <dgm:cxn modelId="{E21616FC-B31A-4128-9830-42B13BF1D2FB}" type="presParOf" srcId="{64272063-C7A3-4430-9314-A82B39E78EB4}" destId="{727D3C20-08C3-46E0-9D5F-C25A882902F1}" srcOrd="0" destOrd="0" presId="urn:microsoft.com/office/officeart/2005/8/layout/orgChart1"/>
    <dgm:cxn modelId="{CE3714FE-8766-4127-9ED4-5B204EE81D0D}" type="presParOf" srcId="{64272063-C7A3-4430-9314-A82B39E78EB4}" destId="{8F7D25DF-0E2B-4046-9A84-646C03639204}" srcOrd="1" destOrd="0" presId="urn:microsoft.com/office/officeart/2005/8/layout/orgChart1"/>
    <dgm:cxn modelId="{9CAED56F-ADB5-4CC6-B41E-BDDFF799E74E}" type="presParOf" srcId="{8F7D25DF-0E2B-4046-9A84-646C03639204}" destId="{F627AB71-7E0C-4EA4-BF1E-D3BD4FC19A59}" srcOrd="0" destOrd="0" presId="urn:microsoft.com/office/officeart/2005/8/layout/orgChart1"/>
    <dgm:cxn modelId="{F11E6250-7645-4370-A462-66EC742320E7}" type="presParOf" srcId="{F627AB71-7E0C-4EA4-BF1E-D3BD4FC19A59}" destId="{7328ADD4-C2FB-4F85-ACD4-BD5F2B142E5F}" srcOrd="0" destOrd="0" presId="urn:microsoft.com/office/officeart/2005/8/layout/orgChart1"/>
    <dgm:cxn modelId="{447F4BE5-AD2C-454C-99FF-54A019F3F34D}" type="presParOf" srcId="{F627AB71-7E0C-4EA4-BF1E-D3BD4FC19A59}" destId="{36FD8BE2-BA4F-4B72-9A44-FA655B666FA5}" srcOrd="1" destOrd="0" presId="urn:microsoft.com/office/officeart/2005/8/layout/orgChart1"/>
    <dgm:cxn modelId="{BA8DBE29-09B1-4241-AB97-01DD1732A207}" type="presParOf" srcId="{8F7D25DF-0E2B-4046-9A84-646C03639204}" destId="{7A6C457B-43DE-4A94-98BA-61E56DF90454}" srcOrd="1" destOrd="0" presId="urn:microsoft.com/office/officeart/2005/8/layout/orgChart1"/>
    <dgm:cxn modelId="{4ED791E8-ED6F-4B45-9957-80C7304EB47B}" type="presParOf" srcId="{7A6C457B-43DE-4A94-98BA-61E56DF90454}" destId="{E9968626-001D-41AC-ACD6-051EE3D569AF}" srcOrd="0" destOrd="0" presId="urn:microsoft.com/office/officeart/2005/8/layout/orgChart1"/>
    <dgm:cxn modelId="{70119F7F-5B60-4C41-888C-3553B93F4919}" type="presParOf" srcId="{7A6C457B-43DE-4A94-98BA-61E56DF90454}" destId="{DC3031E9-5475-471A-BBD9-F528D63EB525}" srcOrd="1" destOrd="0" presId="urn:microsoft.com/office/officeart/2005/8/layout/orgChart1"/>
    <dgm:cxn modelId="{D5BE9CFE-C737-4FE0-9ACD-D11A80EB3144}" type="presParOf" srcId="{DC3031E9-5475-471A-BBD9-F528D63EB525}" destId="{EE7BD3EC-8BD2-4E9A-8039-737B4D20FA39}" srcOrd="0" destOrd="0" presId="urn:microsoft.com/office/officeart/2005/8/layout/orgChart1"/>
    <dgm:cxn modelId="{8604F693-B562-440F-9B97-8F744B66488B}" type="presParOf" srcId="{EE7BD3EC-8BD2-4E9A-8039-737B4D20FA39}" destId="{917C8433-DBEF-4007-8302-5B2EB06D96BF}" srcOrd="0" destOrd="0" presId="urn:microsoft.com/office/officeart/2005/8/layout/orgChart1"/>
    <dgm:cxn modelId="{BC2F7BBC-38D3-4C7C-B381-656815E648FC}" type="presParOf" srcId="{EE7BD3EC-8BD2-4E9A-8039-737B4D20FA39}" destId="{FEFA5CF4-C8B7-4203-9079-5EBF2E3EB0FE}" srcOrd="1" destOrd="0" presId="urn:microsoft.com/office/officeart/2005/8/layout/orgChart1"/>
    <dgm:cxn modelId="{F67DEB37-E51C-42B1-99A6-1E6D284F7960}" type="presParOf" srcId="{DC3031E9-5475-471A-BBD9-F528D63EB525}" destId="{3E86FF03-47AD-409D-B2DA-6105B982EA7C}" srcOrd="1" destOrd="0" presId="urn:microsoft.com/office/officeart/2005/8/layout/orgChart1"/>
    <dgm:cxn modelId="{A5AEA6A5-C0D4-44F0-9617-171BB5F515F3}" type="presParOf" srcId="{3E86FF03-47AD-409D-B2DA-6105B982EA7C}" destId="{9E7CDAE9-5BB7-4601-B7CD-933D9DB267F0}" srcOrd="0" destOrd="0" presId="urn:microsoft.com/office/officeart/2005/8/layout/orgChart1"/>
    <dgm:cxn modelId="{EC8CA749-D887-433B-9EC0-7A8AFB795536}" type="presParOf" srcId="{3E86FF03-47AD-409D-B2DA-6105B982EA7C}" destId="{D1076358-7C1C-45C8-BECA-3B22367A8CC9}" srcOrd="1" destOrd="0" presId="urn:microsoft.com/office/officeart/2005/8/layout/orgChart1"/>
    <dgm:cxn modelId="{253B117C-6F1C-4951-B60E-EFFD017D7E32}" type="presParOf" srcId="{D1076358-7C1C-45C8-BECA-3B22367A8CC9}" destId="{E08EE0D5-B1B1-4D96-8BB4-0A264686E294}" srcOrd="0" destOrd="0" presId="urn:microsoft.com/office/officeart/2005/8/layout/orgChart1"/>
    <dgm:cxn modelId="{15D82B64-3DB2-44EC-AD0E-0084D82D11C6}" type="presParOf" srcId="{E08EE0D5-B1B1-4D96-8BB4-0A264686E294}" destId="{C7625CD0-4926-4566-8952-EEADC4F6FF98}" srcOrd="0" destOrd="0" presId="urn:microsoft.com/office/officeart/2005/8/layout/orgChart1"/>
    <dgm:cxn modelId="{6B6B8686-6195-4F68-9DC0-22B8AC1E7C88}" type="presParOf" srcId="{E08EE0D5-B1B1-4D96-8BB4-0A264686E294}" destId="{7766166B-623A-4CF9-A782-14515EC8A6F0}" srcOrd="1" destOrd="0" presId="urn:microsoft.com/office/officeart/2005/8/layout/orgChart1"/>
    <dgm:cxn modelId="{FD44B59A-079F-4571-9FD0-64A6B60FDD4C}" type="presParOf" srcId="{D1076358-7C1C-45C8-BECA-3B22367A8CC9}" destId="{27E0B72A-C8D5-430A-91F7-B705A9B49DA3}" srcOrd="1" destOrd="0" presId="urn:microsoft.com/office/officeart/2005/8/layout/orgChart1"/>
    <dgm:cxn modelId="{3ACCB15C-63E5-4E80-BBD8-2EA1330E7C02}" type="presParOf" srcId="{D1076358-7C1C-45C8-BECA-3B22367A8CC9}" destId="{24A20F86-6A84-4797-BD4F-796CC959BC5D}" srcOrd="2" destOrd="0" presId="urn:microsoft.com/office/officeart/2005/8/layout/orgChart1"/>
    <dgm:cxn modelId="{7568D0F5-FD4D-4EE1-A280-DD613FC20899}" type="presParOf" srcId="{3E86FF03-47AD-409D-B2DA-6105B982EA7C}" destId="{F0916934-E6BB-42AF-BE11-5412F6D1467F}" srcOrd="2" destOrd="0" presId="urn:microsoft.com/office/officeart/2005/8/layout/orgChart1"/>
    <dgm:cxn modelId="{8EC579D4-B431-4FB6-B28D-6A89B898C15E}" type="presParOf" srcId="{3E86FF03-47AD-409D-B2DA-6105B982EA7C}" destId="{5E0BCE0E-67B3-4C9F-A1D1-13A98B89FC58}" srcOrd="3" destOrd="0" presId="urn:microsoft.com/office/officeart/2005/8/layout/orgChart1"/>
    <dgm:cxn modelId="{5EA0DA79-21B1-47D9-AC9F-C24C11CFDB30}" type="presParOf" srcId="{5E0BCE0E-67B3-4C9F-A1D1-13A98B89FC58}" destId="{851EA3F5-ACC6-4A2E-AADF-3812D740C7EA}" srcOrd="0" destOrd="0" presId="urn:microsoft.com/office/officeart/2005/8/layout/orgChart1"/>
    <dgm:cxn modelId="{68BE28CA-C7DE-48AB-BF8B-08CA3F45DA40}" type="presParOf" srcId="{851EA3F5-ACC6-4A2E-AADF-3812D740C7EA}" destId="{6B652F76-4F44-497E-ACAB-81B3BCF09606}" srcOrd="0" destOrd="0" presId="urn:microsoft.com/office/officeart/2005/8/layout/orgChart1"/>
    <dgm:cxn modelId="{76102F56-0B1C-4910-B43F-992F482F452D}" type="presParOf" srcId="{851EA3F5-ACC6-4A2E-AADF-3812D740C7EA}" destId="{1755D2B5-254D-4C3E-86B2-DA997B2FCC0C}" srcOrd="1" destOrd="0" presId="urn:microsoft.com/office/officeart/2005/8/layout/orgChart1"/>
    <dgm:cxn modelId="{C25EE9DD-1B85-4702-A20C-3EC9BCEB47C9}" type="presParOf" srcId="{5E0BCE0E-67B3-4C9F-A1D1-13A98B89FC58}" destId="{DA09A411-AD47-4744-B2E6-E5670523AC36}" srcOrd="1" destOrd="0" presId="urn:microsoft.com/office/officeart/2005/8/layout/orgChart1"/>
    <dgm:cxn modelId="{DFD6BEB8-5976-4042-A3E2-C79039448AE0}" type="presParOf" srcId="{5E0BCE0E-67B3-4C9F-A1D1-13A98B89FC58}" destId="{E6D59676-3AA5-4347-87C3-DCCFC4AE67CA}" srcOrd="2" destOrd="0" presId="urn:microsoft.com/office/officeart/2005/8/layout/orgChart1"/>
    <dgm:cxn modelId="{EBB1A50F-7CCA-49B7-BE02-361D7AA24A47}" type="presParOf" srcId="{3E86FF03-47AD-409D-B2DA-6105B982EA7C}" destId="{255C0A9F-D135-4680-AD0C-2FA3490FB292}" srcOrd="4" destOrd="0" presId="urn:microsoft.com/office/officeart/2005/8/layout/orgChart1"/>
    <dgm:cxn modelId="{9B81DDE0-4873-4C24-BC55-B412C8F7C45A}" type="presParOf" srcId="{3E86FF03-47AD-409D-B2DA-6105B982EA7C}" destId="{3E92C30C-D8A0-4F24-B6AA-5FD13DC8DB92}" srcOrd="5" destOrd="0" presId="urn:microsoft.com/office/officeart/2005/8/layout/orgChart1"/>
    <dgm:cxn modelId="{D5E7954A-1F91-4CD7-A035-8CB499B24EE0}" type="presParOf" srcId="{3E92C30C-D8A0-4F24-B6AA-5FD13DC8DB92}" destId="{15B36C0F-6B3E-405C-938C-8210753B79AB}" srcOrd="0" destOrd="0" presId="urn:microsoft.com/office/officeart/2005/8/layout/orgChart1"/>
    <dgm:cxn modelId="{635B93C3-2F22-4610-B645-59F685A9CBB7}" type="presParOf" srcId="{15B36C0F-6B3E-405C-938C-8210753B79AB}" destId="{A637A9B2-64C4-4C79-9AA5-D224D4EF923D}" srcOrd="0" destOrd="0" presId="urn:microsoft.com/office/officeart/2005/8/layout/orgChart1"/>
    <dgm:cxn modelId="{6A3E6433-DC9F-4F04-978D-CAD924CA37DE}" type="presParOf" srcId="{15B36C0F-6B3E-405C-938C-8210753B79AB}" destId="{3D6C9941-F9C8-4705-AEB8-1085C4B7A17E}" srcOrd="1" destOrd="0" presId="urn:microsoft.com/office/officeart/2005/8/layout/orgChart1"/>
    <dgm:cxn modelId="{89CD7745-2CB1-4AC7-B3DD-47C5AB37AB20}" type="presParOf" srcId="{3E92C30C-D8A0-4F24-B6AA-5FD13DC8DB92}" destId="{363E3F4A-F1DB-4974-B449-51F5A71E0472}" srcOrd="1" destOrd="0" presId="urn:microsoft.com/office/officeart/2005/8/layout/orgChart1"/>
    <dgm:cxn modelId="{6FFFC95B-466C-4AD3-9BB7-5F5A74B45BD7}" type="presParOf" srcId="{3E92C30C-D8A0-4F24-B6AA-5FD13DC8DB92}" destId="{A3AF0820-5EAE-4B30-A2F2-B288D9894E09}" srcOrd="2" destOrd="0" presId="urn:microsoft.com/office/officeart/2005/8/layout/orgChart1"/>
    <dgm:cxn modelId="{09F901BB-010E-4078-9675-E2A2E2B0C0D5}" type="presParOf" srcId="{3E86FF03-47AD-409D-B2DA-6105B982EA7C}" destId="{797FD04D-C52B-4513-AFB5-22E65151BAF3}" srcOrd="6" destOrd="0" presId="urn:microsoft.com/office/officeart/2005/8/layout/orgChart1"/>
    <dgm:cxn modelId="{ADFA090C-3C23-441A-9B53-7AAF0016087D}" type="presParOf" srcId="{3E86FF03-47AD-409D-B2DA-6105B982EA7C}" destId="{0C764281-1048-4D63-92BF-A31C0F75E98D}" srcOrd="7" destOrd="0" presId="urn:microsoft.com/office/officeart/2005/8/layout/orgChart1"/>
    <dgm:cxn modelId="{B8BA4C55-AB8F-41C7-B0B2-C4397AEBC132}" type="presParOf" srcId="{0C764281-1048-4D63-92BF-A31C0F75E98D}" destId="{2AEAFEF6-D01A-410C-9342-31A6F8E76B4C}" srcOrd="0" destOrd="0" presId="urn:microsoft.com/office/officeart/2005/8/layout/orgChart1"/>
    <dgm:cxn modelId="{C55A08F2-249F-4039-B349-7882E4E801A3}" type="presParOf" srcId="{2AEAFEF6-D01A-410C-9342-31A6F8E76B4C}" destId="{EA51BA49-97EE-410D-A665-D3A093076A09}" srcOrd="0" destOrd="0" presId="urn:microsoft.com/office/officeart/2005/8/layout/orgChart1"/>
    <dgm:cxn modelId="{E17D19FD-E386-4432-AAD2-DCDB1EA25A54}" type="presParOf" srcId="{2AEAFEF6-D01A-410C-9342-31A6F8E76B4C}" destId="{08906720-B8E3-4BE6-8CEF-3D547B7D186A}" srcOrd="1" destOrd="0" presId="urn:microsoft.com/office/officeart/2005/8/layout/orgChart1"/>
    <dgm:cxn modelId="{E5CA7BBA-0B5E-40C6-BAEE-E5743D73D76A}" type="presParOf" srcId="{0C764281-1048-4D63-92BF-A31C0F75E98D}" destId="{2C220EC1-01B6-4C47-B008-20EE3FEEFCD5}" srcOrd="1" destOrd="0" presId="urn:microsoft.com/office/officeart/2005/8/layout/orgChart1"/>
    <dgm:cxn modelId="{301D1AE4-23C0-4CF7-988B-7E79706069B8}" type="presParOf" srcId="{0C764281-1048-4D63-92BF-A31C0F75E98D}" destId="{9819CC89-3A51-460F-9DBC-65AE5DFDFB9A}" srcOrd="2" destOrd="0" presId="urn:microsoft.com/office/officeart/2005/8/layout/orgChart1"/>
    <dgm:cxn modelId="{1629CC2B-C2DC-4E0C-A041-7D3D12212F88}" type="presParOf" srcId="{3E86FF03-47AD-409D-B2DA-6105B982EA7C}" destId="{CBE079EE-11A5-4911-83EA-816F88E25955}" srcOrd="8" destOrd="0" presId="urn:microsoft.com/office/officeart/2005/8/layout/orgChart1"/>
    <dgm:cxn modelId="{E3968BB3-8850-4888-81FB-421EBC2A427D}" type="presParOf" srcId="{3E86FF03-47AD-409D-B2DA-6105B982EA7C}" destId="{468B8D79-AAD8-4DC6-B920-23D7AEF5D74E}" srcOrd="9" destOrd="0" presId="urn:microsoft.com/office/officeart/2005/8/layout/orgChart1"/>
    <dgm:cxn modelId="{F8BD2A8C-0F30-4221-A1EA-108DDDFA17CB}" type="presParOf" srcId="{468B8D79-AAD8-4DC6-B920-23D7AEF5D74E}" destId="{90EDEA5B-423C-45FB-8157-FCFD83F15D5C}" srcOrd="0" destOrd="0" presId="urn:microsoft.com/office/officeart/2005/8/layout/orgChart1"/>
    <dgm:cxn modelId="{7449319C-91B2-432C-A185-8C5AC9D71C8D}" type="presParOf" srcId="{90EDEA5B-423C-45FB-8157-FCFD83F15D5C}" destId="{50C6A103-15B0-4406-8F7D-472DB74F6932}" srcOrd="0" destOrd="0" presId="urn:microsoft.com/office/officeart/2005/8/layout/orgChart1"/>
    <dgm:cxn modelId="{50219F19-20D7-4972-8144-10C9212F2DC0}" type="presParOf" srcId="{90EDEA5B-423C-45FB-8157-FCFD83F15D5C}" destId="{B7023674-F928-4D5D-B0F2-D5B3F9E60D26}" srcOrd="1" destOrd="0" presId="urn:microsoft.com/office/officeart/2005/8/layout/orgChart1"/>
    <dgm:cxn modelId="{503FCCBA-8603-4F7A-96F0-9869CA39927F}" type="presParOf" srcId="{468B8D79-AAD8-4DC6-B920-23D7AEF5D74E}" destId="{93D3E89C-FBC8-4C27-8B2E-2DDDC9C970D2}" srcOrd="1" destOrd="0" presId="urn:microsoft.com/office/officeart/2005/8/layout/orgChart1"/>
    <dgm:cxn modelId="{B4181C0C-2924-4E7C-8AE6-B7623D919CC2}" type="presParOf" srcId="{468B8D79-AAD8-4DC6-B920-23D7AEF5D74E}" destId="{5A7151BC-29B8-4666-8D87-92717ABCC9A2}" srcOrd="2" destOrd="0" presId="urn:microsoft.com/office/officeart/2005/8/layout/orgChart1"/>
    <dgm:cxn modelId="{287F6C4C-DD7F-4BD8-9E57-E1B12F84DA2B}" type="presParOf" srcId="{DC3031E9-5475-471A-BBD9-F528D63EB525}" destId="{FBCA10DC-7B6F-407C-8A5E-F6747A0CE783}" srcOrd="2" destOrd="0" presId="urn:microsoft.com/office/officeart/2005/8/layout/orgChart1"/>
    <dgm:cxn modelId="{0D9F7584-4EB1-44C0-9859-34980B8CD3DC}" type="presParOf" srcId="{8F7D25DF-0E2B-4046-9A84-646C03639204}" destId="{C2EE48BB-C885-42B6-9745-77BDC3A15A8D}" srcOrd="2" destOrd="0" presId="urn:microsoft.com/office/officeart/2005/8/layout/orgChart1"/>
    <dgm:cxn modelId="{D906B0BF-5760-4356-8646-7D36E832A400}" type="presParOf" srcId="{9D4C5F0B-C913-4E64-BD9B-F4DB34B8F539}" destId="{48FB4757-A7F9-4579-BBEB-B7F8ED1AAC1B}" srcOrd="2" destOrd="0" presId="urn:microsoft.com/office/officeart/2005/8/layout/orgChart1"/>
    <dgm:cxn modelId="{816AA280-F33E-45A8-8046-416C29B8A0A7}" type="presParOf" srcId="{E633C4C6-573E-4F07-B1AF-E63DCFE18FB0}" destId="{19FE659F-E83C-4030-9D75-FB48C20775EE}"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E079EE-11A5-4911-83EA-816F88E25955}">
      <dsp:nvSpPr>
        <dsp:cNvPr id="0" name=""/>
        <dsp:cNvSpPr/>
      </dsp:nvSpPr>
      <dsp:spPr>
        <a:xfrm>
          <a:off x="3068002" y="2504431"/>
          <a:ext cx="2526773" cy="259484"/>
        </a:xfrm>
        <a:custGeom>
          <a:avLst/>
          <a:gdLst/>
          <a:ahLst/>
          <a:cxnLst/>
          <a:rect l="0" t="0" r="0" b="0"/>
          <a:pathLst>
            <a:path>
              <a:moveTo>
                <a:pt x="0" y="0"/>
              </a:moveTo>
              <a:lnTo>
                <a:pt x="0" y="168745"/>
              </a:lnTo>
              <a:lnTo>
                <a:pt x="2526773" y="168745"/>
              </a:lnTo>
              <a:lnTo>
                <a:pt x="2526773" y="259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FD04D-C52B-4513-AFB5-22E65151BAF3}">
      <dsp:nvSpPr>
        <dsp:cNvPr id="0" name=""/>
        <dsp:cNvSpPr/>
      </dsp:nvSpPr>
      <dsp:spPr>
        <a:xfrm>
          <a:off x="3068002" y="2504431"/>
          <a:ext cx="1263289" cy="259484"/>
        </a:xfrm>
        <a:custGeom>
          <a:avLst/>
          <a:gdLst/>
          <a:ahLst/>
          <a:cxnLst/>
          <a:rect l="0" t="0" r="0" b="0"/>
          <a:pathLst>
            <a:path>
              <a:moveTo>
                <a:pt x="0" y="0"/>
              </a:moveTo>
              <a:lnTo>
                <a:pt x="0" y="168745"/>
              </a:lnTo>
              <a:lnTo>
                <a:pt x="1263289" y="168745"/>
              </a:lnTo>
              <a:lnTo>
                <a:pt x="1263289" y="259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5C0A9F-D135-4680-AD0C-2FA3490FB292}">
      <dsp:nvSpPr>
        <dsp:cNvPr id="0" name=""/>
        <dsp:cNvSpPr/>
      </dsp:nvSpPr>
      <dsp:spPr>
        <a:xfrm>
          <a:off x="3022088" y="2504431"/>
          <a:ext cx="91440" cy="259484"/>
        </a:xfrm>
        <a:custGeom>
          <a:avLst/>
          <a:gdLst/>
          <a:ahLst/>
          <a:cxnLst/>
          <a:rect l="0" t="0" r="0" b="0"/>
          <a:pathLst>
            <a:path>
              <a:moveTo>
                <a:pt x="45914" y="0"/>
              </a:moveTo>
              <a:lnTo>
                <a:pt x="45914" y="168745"/>
              </a:lnTo>
              <a:lnTo>
                <a:pt x="45720" y="168745"/>
              </a:lnTo>
              <a:lnTo>
                <a:pt x="45720" y="259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916934-E6BB-42AF-BE11-5412F6D1467F}">
      <dsp:nvSpPr>
        <dsp:cNvPr id="0" name=""/>
        <dsp:cNvSpPr/>
      </dsp:nvSpPr>
      <dsp:spPr>
        <a:xfrm>
          <a:off x="1804324" y="2504431"/>
          <a:ext cx="1263678" cy="259484"/>
        </a:xfrm>
        <a:custGeom>
          <a:avLst/>
          <a:gdLst/>
          <a:ahLst/>
          <a:cxnLst/>
          <a:rect l="0" t="0" r="0" b="0"/>
          <a:pathLst>
            <a:path>
              <a:moveTo>
                <a:pt x="1263678" y="0"/>
              </a:moveTo>
              <a:lnTo>
                <a:pt x="1263678" y="168745"/>
              </a:lnTo>
              <a:lnTo>
                <a:pt x="0" y="168745"/>
              </a:lnTo>
              <a:lnTo>
                <a:pt x="0" y="259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CDAE9-5BB7-4601-B7CD-933D9DB267F0}">
      <dsp:nvSpPr>
        <dsp:cNvPr id="0" name=""/>
        <dsp:cNvSpPr/>
      </dsp:nvSpPr>
      <dsp:spPr>
        <a:xfrm>
          <a:off x="540922" y="2504431"/>
          <a:ext cx="2527080" cy="259484"/>
        </a:xfrm>
        <a:custGeom>
          <a:avLst/>
          <a:gdLst/>
          <a:ahLst/>
          <a:cxnLst/>
          <a:rect l="0" t="0" r="0" b="0"/>
          <a:pathLst>
            <a:path>
              <a:moveTo>
                <a:pt x="2527080" y="0"/>
              </a:moveTo>
              <a:lnTo>
                <a:pt x="2527080" y="168745"/>
              </a:lnTo>
              <a:lnTo>
                <a:pt x="0" y="168745"/>
              </a:lnTo>
              <a:lnTo>
                <a:pt x="0" y="2594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68626-001D-41AC-ACD6-051EE3D569AF}">
      <dsp:nvSpPr>
        <dsp:cNvPr id="0" name=""/>
        <dsp:cNvSpPr/>
      </dsp:nvSpPr>
      <dsp:spPr>
        <a:xfrm>
          <a:off x="3022282" y="1890859"/>
          <a:ext cx="91440" cy="181479"/>
        </a:xfrm>
        <a:custGeom>
          <a:avLst/>
          <a:gdLst/>
          <a:ahLst/>
          <a:cxnLst/>
          <a:rect l="0" t="0" r="0" b="0"/>
          <a:pathLst>
            <a:path>
              <a:moveTo>
                <a:pt x="45720" y="0"/>
              </a:moveTo>
              <a:lnTo>
                <a:pt x="45720" y="1814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D3C20-08C3-46E0-9D5F-C25A882902F1}">
      <dsp:nvSpPr>
        <dsp:cNvPr id="0" name=""/>
        <dsp:cNvSpPr/>
      </dsp:nvSpPr>
      <dsp:spPr>
        <a:xfrm>
          <a:off x="3022282" y="1277286"/>
          <a:ext cx="91440" cy="181479"/>
        </a:xfrm>
        <a:custGeom>
          <a:avLst/>
          <a:gdLst/>
          <a:ahLst/>
          <a:cxnLst/>
          <a:rect l="0" t="0" r="0" b="0"/>
          <a:pathLst>
            <a:path>
              <a:moveTo>
                <a:pt x="45720" y="0"/>
              </a:moveTo>
              <a:lnTo>
                <a:pt x="45720" y="1814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B652C-9235-4055-BEA8-ABC7E55B1812}">
      <dsp:nvSpPr>
        <dsp:cNvPr id="0" name=""/>
        <dsp:cNvSpPr/>
      </dsp:nvSpPr>
      <dsp:spPr>
        <a:xfrm>
          <a:off x="3022282" y="663714"/>
          <a:ext cx="91440" cy="181479"/>
        </a:xfrm>
        <a:custGeom>
          <a:avLst/>
          <a:gdLst/>
          <a:ahLst/>
          <a:cxnLst/>
          <a:rect l="0" t="0" r="0" b="0"/>
          <a:pathLst>
            <a:path>
              <a:moveTo>
                <a:pt x="45720" y="0"/>
              </a:moveTo>
              <a:lnTo>
                <a:pt x="45720" y="18147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824E2-8BB3-4D36-B966-B583233258AC}">
      <dsp:nvSpPr>
        <dsp:cNvPr id="0" name=""/>
        <dsp:cNvSpPr/>
      </dsp:nvSpPr>
      <dsp:spPr>
        <a:xfrm>
          <a:off x="2513600" y="231621"/>
          <a:ext cx="1108803"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Premier of Queensland</a:t>
          </a:r>
        </a:p>
      </dsp:txBody>
      <dsp:txXfrm>
        <a:off x="2513600" y="231621"/>
        <a:ext cx="1108803" cy="432093"/>
      </dsp:txXfrm>
    </dsp:sp>
    <dsp:sp modelId="{7C2E98D7-9E1E-4815-93EE-50CA0BFD6CA7}">
      <dsp:nvSpPr>
        <dsp:cNvPr id="0" name=""/>
        <dsp:cNvSpPr/>
      </dsp:nvSpPr>
      <dsp:spPr>
        <a:xfrm>
          <a:off x="2513600" y="845193"/>
          <a:ext cx="1108803"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Public Sector Commission</a:t>
          </a:r>
        </a:p>
      </dsp:txBody>
      <dsp:txXfrm>
        <a:off x="2513600" y="845193"/>
        <a:ext cx="1108803" cy="432093"/>
      </dsp:txXfrm>
    </dsp:sp>
    <dsp:sp modelId="{7328ADD4-C2FB-4F85-ACD4-BD5F2B142E5F}">
      <dsp:nvSpPr>
        <dsp:cNvPr id="0" name=""/>
        <dsp:cNvSpPr/>
      </dsp:nvSpPr>
      <dsp:spPr>
        <a:xfrm>
          <a:off x="2513600" y="1458765"/>
          <a:ext cx="1108803"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Public Sector Commissioner</a:t>
          </a:r>
        </a:p>
      </dsp:txBody>
      <dsp:txXfrm>
        <a:off x="2513600" y="1458765"/>
        <a:ext cx="1108803" cy="432093"/>
      </dsp:txXfrm>
    </dsp:sp>
    <dsp:sp modelId="{917C8433-DBEF-4007-8302-5B2EB06D96BF}">
      <dsp:nvSpPr>
        <dsp:cNvPr id="0" name=""/>
        <dsp:cNvSpPr/>
      </dsp:nvSpPr>
      <dsp:spPr>
        <a:xfrm>
          <a:off x="2513600" y="2072338"/>
          <a:ext cx="1108803"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Deputy Commissioner</a:t>
          </a:r>
        </a:p>
      </dsp:txBody>
      <dsp:txXfrm>
        <a:off x="2513600" y="2072338"/>
        <a:ext cx="1108803" cy="432093"/>
      </dsp:txXfrm>
    </dsp:sp>
    <dsp:sp modelId="{C7625CD0-4926-4566-8952-EEADC4F6FF98}">
      <dsp:nvSpPr>
        <dsp:cNvPr id="0" name=""/>
        <dsp:cNvSpPr/>
      </dsp:nvSpPr>
      <dsp:spPr>
        <a:xfrm>
          <a:off x="2" y="2763916"/>
          <a:ext cx="1081840"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000" tIns="6350" rIns="1800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Public Sector Employment Practice</a:t>
          </a:r>
        </a:p>
      </dsp:txBody>
      <dsp:txXfrm>
        <a:off x="2" y="2763916"/>
        <a:ext cx="1081840" cy="432093"/>
      </dsp:txXfrm>
    </dsp:sp>
    <dsp:sp modelId="{6B652F76-4F44-497E-ACAB-81B3BCF09606}">
      <dsp:nvSpPr>
        <dsp:cNvPr id="0" name=""/>
        <dsp:cNvSpPr/>
      </dsp:nvSpPr>
      <dsp:spPr>
        <a:xfrm>
          <a:off x="1263321" y="2763916"/>
          <a:ext cx="1082004"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000" tIns="6350" rIns="1800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Leadership and Capability</a:t>
          </a:r>
        </a:p>
      </dsp:txBody>
      <dsp:txXfrm>
        <a:off x="1263321" y="2763916"/>
        <a:ext cx="1082004" cy="432093"/>
      </dsp:txXfrm>
    </dsp:sp>
    <dsp:sp modelId="{A637A9B2-64C4-4C79-9AA5-D224D4EF923D}">
      <dsp:nvSpPr>
        <dsp:cNvPr id="0" name=""/>
        <dsp:cNvSpPr/>
      </dsp:nvSpPr>
      <dsp:spPr>
        <a:xfrm>
          <a:off x="2526805" y="2763916"/>
          <a:ext cx="1082004"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000" tIns="6350" rIns="1800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Strategic Workforce Futures</a:t>
          </a:r>
        </a:p>
      </dsp:txBody>
      <dsp:txXfrm>
        <a:off x="2526805" y="2763916"/>
        <a:ext cx="1082004" cy="432093"/>
      </dsp:txXfrm>
    </dsp:sp>
    <dsp:sp modelId="{EA51BA49-97EE-410D-A665-D3A093076A09}">
      <dsp:nvSpPr>
        <dsp:cNvPr id="0" name=""/>
        <dsp:cNvSpPr/>
      </dsp:nvSpPr>
      <dsp:spPr>
        <a:xfrm>
          <a:off x="3790289" y="2763916"/>
          <a:ext cx="1082004"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000" tIns="6350" rIns="1800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Communications and Engagement</a:t>
          </a:r>
        </a:p>
      </dsp:txBody>
      <dsp:txXfrm>
        <a:off x="3790289" y="2763916"/>
        <a:ext cx="1082004" cy="432093"/>
      </dsp:txXfrm>
    </dsp:sp>
    <dsp:sp modelId="{50C6A103-15B0-4406-8F7D-472DB74F6932}">
      <dsp:nvSpPr>
        <dsp:cNvPr id="0" name=""/>
        <dsp:cNvSpPr/>
      </dsp:nvSpPr>
      <dsp:spPr>
        <a:xfrm>
          <a:off x="5053773" y="2763916"/>
          <a:ext cx="1082004" cy="432093"/>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8000" tIns="6350" rIns="1800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Governance and Business Services</a:t>
          </a:r>
        </a:p>
      </dsp:txBody>
      <dsp:txXfrm>
        <a:off x="5053773" y="2763916"/>
        <a:ext cx="1082004" cy="4320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FFEE668E-948D-4DB9-914E-C1AFD5084689}">
    <t:Anchor>
      <t:Comment id="642466483"/>
    </t:Anchor>
    <t:History>
      <t:Event id="{63387181-E02F-4EF3-83D3-E2DB75FACCE4}" time="2022-06-15T05:41:29.157Z">
        <t:Attribution userId="S::kate.hannah@psc.qld.gov.au::fd0c009d-3566-4fae-b61f-50b6900e2efe" userProvider="AD" userName="Kate Hannah"/>
        <t:Anchor>
          <t:Comment id="1984135135"/>
        </t:Anchor>
        <t:Create/>
      </t:Event>
      <t:Event id="{CBAAA1BC-B3DD-4064-B678-5937451473CE}" time="2022-06-15T05:41:29.157Z">
        <t:Attribution userId="S::kate.hannah@psc.qld.gov.au::fd0c009d-3566-4fae-b61f-50b6900e2efe" userProvider="AD" userName="Kate Hannah"/>
        <t:Anchor>
          <t:Comment id="1984135135"/>
        </t:Anchor>
        <t:Assign userId="S::Shaun.Gordon@psc.qld.gov.au::cb634b4f-4653-4b33-8cea-4938b1a5368f" userProvider="AD" userName="Shaun Gordon"/>
      </t:Event>
      <t:Event id="{9C494F58-51AB-454D-BC91-F050A5D31A02}" time="2022-06-15T05:41:29.157Z">
        <t:Attribution userId="S::kate.hannah@psc.qld.gov.au::fd0c009d-3566-4fae-b61f-50b6900e2efe" userProvider="AD" userName="Kate Hannah"/>
        <t:Anchor>
          <t:Comment id="1984135135"/>
        </t:Anchor>
        <t:SetTitle title="@Shaun Gordon"/>
      </t:Event>
    </t:History>
  </t:Task>
  <t:Task id="{C8D06FD0-51D0-4B48-8643-8070F8CDC556}">
    <t:Anchor>
      <t:Comment id="311164596"/>
    </t:Anchor>
    <t:History>
      <t:Event id="{BB314A39-5283-446F-9B43-89BCAB81C01A}" time="2022-06-15T05:39:29.619Z">
        <t:Attribution userId="S::kate.hannah@psc.qld.gov.au::fd0c009d-3566-4fae-b61f-50b6900e2efe" userProvider="AD" userName="Kate Hannah"/>
        <t:Anchor>
          <t:Comment id="311164596"/>
        </t:Anchor>
        <t:Create/>
      </t:Event>
      <t:Event id="{2DF06296-EB71-4793-BEBC-7DD1395D7764}" time="2022-06-15T05:39:29.619Z">
        <t:Attribution userId="S::kate.hannah@psc.qld.gov.au::fd0c009d-3566-4fae-b61f-50b6900e2efe" userProvider="AD" userName="Kate Hannah"/>
        <t:Anchor>
          <t:Comment id="311164596"/>
        </t:Anchor>
        <t:Assign userId="S::Shaun.Gordon@psc.qld.gov.au::cb634b4f-4653-4b33-8cea-4938b1a5368f" userProvider="AD" userName="Shaun Gordon"/>
      </t:Event>
      <t:Event id="{1AB31317-8D96-4466-A83A-94F8B16627EB}" time="2022-06-15T05:39:29.619Z">
        <t:Attribution userId="S::kate.hannah@psc.qld.gov.au::fd0c009d-3566-4fae-b61f-50b6900e2efe" userProvider="AD" userName="Kate Hannah"/>
        <t:Anchor>
          <t:Comment id="311164596"/>
        </t:Anchor>
        <t:SetTitle title="@Shaun Gordon"/>
      </t:Event>
    </t:History>
  </t:Task>
  <t:Task id="{2E23C0F6-7642-49E0-BB68-CAD45E57EA29}">
    <t:Anchor>
      <t:Comment id="375194792"/>
    </t:Anchor>
    <t:History>
      <t:Event id="{38AFC2E3-679B-4E1A-A166-9CD9B30F7575}" time="2022-06-15T05:39:52.062Z">
        <t:Attribution userId="S::kate.hannah@psc.qld.gov.au::fd0c009d-3566-4fae-b61f-50b6900e2efe" userProvider="AD" userName="Kate Hannah"/>
        <t:Anchor>
          <t:Comment id="375194792"/>
        </t:Anchor>
        <t:Create/>
      </t:Event>
      <t:Event id="{A0689BAA-6B59-42BA-AF8E-E031E037B5D7}" time="2022-06-15T05:39:52.062Z">
        <t:Attribution userId="S::kate.hannah@psc.qld.gov.au::fd0c009d-3566-4fae-b61f-50b6900e2efe" userProvider="AD" userName="Kate Hannah"/>
        <t:Anchor>
          <t:Comment id="375194792"/>
        </t:Anchor>
        <t:Assign userId="S::Shaun.Gordon@psc.qld.gov.au::cb634b4f-4653-4b33-8cea-4938b1a5368f" userProvider="AD" userName="Shaun Gordon"/>
      </t:Event>
      <t:Event id="{77746F16-FAE2-4E27-B978-A177BC1BB1B2}" time="2022-06-15T05:39:52.062Z">
        <t:Attribution userId="S::kate.hannah@psc.qld.gov.au::fd0c009d-3566-4fae-b61f-50b6900e2efe" userProvider="AD" userName="Kate Hannah"/>
        <t:Anchor>
          <t:Comment id="375194792"/>
        </t:Anchor>
        <t:SetTitle title="@Shaun Gordon"/>
      </t:Event>
    </t:History>
  </t:Task>
  <t:Task id="{F08F819F-F026-4FCD-AC3B-F8D871AD686D}">
    <t:Anchor>
      <t:Comment id="642466420"/>
    </t:Anchor>
    <t:History>
      <t:Event id="{CCF1376C-4DC4-47C7-AC2B-9CA7FD412D24}" time="2022-06-15T05:41:44.95Z">
        <t:Attribution userId="S::kate.hannah@psc.qld.gov.au::fd0c009d-3566-4fae-b61f-50b6900e2efe" userProvider="AD" userName="Kate Hannah"/>
        <t:Anchor>
          <t:Comment id="598420581"/>
        </t:Anchor>
        <t:Create/>
      </t:Event>
      <t:Event id="{226897A6-4C31-4016-BDE8-DFFC17E291FA}" time="2022-06-15T05:41:44.95Z">
        <t:Attribution userId="S::kate.hannah@psc.qld.gov.au::fd0c009d-3566-4fae-b61f-50b6900e2efe" userProvider="AD" userName="Kate Hannah"/>
        <t:Anchor>
          <t:Comment id="598420581"/>
        </t:Anchor>
        <t:Assign userId="S::Shaun.Gordon@psc.qld.gov.au::cb634b4f-4653-4b33-8cea-4938b1a5368f" userProvider="AD" userName="Shaun Gordon"/>
      </t:Event>
      <t:Event id="{80E68B44-B78B-4BBA-BE6A-6ACC51EEC09F}" time="2022-06-15T05:41:44.95Z">
        <t:Attribution userId="S::kate.hannah@psc.qld.gov.au::fd0c009d-3566-4fae-b61f-50b6900e2efe" userProvider="AD" userName="Kate Hannah"/>
        <t:Anchor>
          <t:Comment id="598420581"/>
        </t:Anchor>
        <t:SetTitle title="@Shaun Gordon"/>
      </t:Event>
    </t:History>
  </t:Task>
  <t:Task id="{27CA6D85-DB8B-4427-B036-2A8F1D4E6D36}">
    <t:Anchor>
      <t:Comment id="642460959"/>
    </t:Anchor>
    <t:History>
      <t:Event id="{78B29CFE-D64A-4D24-A100-B1C2ED8050B2}" time="2022-06-15T05:40:23.539Z">
        <t:Attribution userId="S::kate.hannah@psc.qld.gov.au::fd0c009d-3566-4fae-b61f-50b6900e2efe" userProvider="AD" userName="Kate Hannah"/>
        <t:Anchor>
          <t:Comment id="177455087"/>
        </t:Anchor>
        <t:Create/>
      </t:Event>
      <t:Event id="{95E53470-AE8E-4F00-8AFB-2E58B55E7ED3}" time="2022-06-15T05:40:23.539Z">
        <t:Attribution userId="S::kate.hannah@psc.qld.gov.au::fd0c009d-3566-4fae-b61f-50b6900e2efe" userProvider="AD" userName="Kate Hannah"/>
        <t:Anchor>
          <t:Comment id="177455087"/>
        </t:Anchor>
        <t:Assign userId="S::Shaun.Gordon@psc.qld.gov.au::cb634b4f-4653-4b33-8cea-4938b1a5368f" userProvider="AD" userName="Shaun Gordon"/>
      </t:Event>
      <t:Event id="{927E0CF1-E041-4B03-A28C-E01D3E42D016}" time="2022-06-15T05:40:23.539Z">
        <t:Attribution userId="S::kate.hannah@psc.qld.gov.au::fd0c009d-3566-4fae-b61f-50b6900e2efe" userProvider="AD" userName="Kate Hannah"/>
        <t:Anchor>
          <t:Comment id="177455087"/>
        </t:Anchor>
        <t:SetTitle title="@Shaun Gordon"/>
      </t:Event>
    </t:History>
  </t:Task>
  <t:Task id="{58629D4C-B0C3-40DD-B737-0F62E357DE45}">
    <t:Anchor>
      <t:Comment id="642466396"/>
    </t:Anchor>
    <t:History>
      <t:Event id="{F236377A-5B3B-4428-A966-2B8F5E242DF2}" time="2022-06-15T05:41:53.539Z">
        <t:Attribution userId="S::kate.hannah@psc.qld.gov.au::fd0c009d-3566-4fae-b61f-50b6900e2efe" userProvider="AD" userName="Kate Hannah"/>
        <t:Anchor>
          <t:Comment id="1843522725"/>
        </t:Anchor>
        <t:Create/>
      </t:Event>
      <t:Event id="{F5CFF8F0-8FA5-469D-B2C8-CC944559EB6D}" time="2022-06-15T05:41:53.539Z">
        <t:Attribution userId="S::kate.hannah@psc.qld.gov.au::fd0c009d-3566-4fae-b61f-50b6900e2efe" userProvider="AD" userName="Kate Hannah"/>
        <t:Anchor>
          <t:Comment id="1843522725"/>
        </t:Anchor>
        <t:Assign userId="S::Shaun.Gordon@psc.qld.gov.au::cb634b4f-4653-4b33-8cea-4938b1a5368f" userProvider="AD" userName="Shaun Gordon"/>
      </t:Event>
      <t:Event id="{B556EEAA-6A21-4EBB-8109-55343CCAC1E7}" time="2022-06-15T05:41:53.539Z">
        <t:Attribution userId="S::kate.hannah@psc.qld.gov.au::fd0c009d-3566-4fae-b61f-50b6900e2efe" userProvider="AD" userName="Kate Hannah"/>
        <t:Anchor>
          <t:Comment id="1843522725"/>
        </t:Anchor>
        <t:SetTitle title="@Shaun Gordon"/>
      </t:Event>
    </t:History>
  </t:Task>
  <t:Task id="{A3F38904-A8FF-4C48-A49E-B0778DC76041}">
    <t:Anchor>
      <t:Comment id="642461693"/>
    </t:Anchor>
    <t:History>
      <t:Event id="{DF2CF95D-9FF6-4CF6-A32B-AABB6CC02071}" time="2022-06-15T05:40:42.494Z">
        <t:Attribution userId="S::kate.hannah@psc.qld.gov.au::fd0c009d-3566-4fae-b61f-50b6900e2efe" userProvider="AD" userName="Kate Hannah"/>
        <t:Anchor>
          <t:Comment id="1921955659"/>
        </t:Anchor>
        <t:Create/>
      </t:Event>
      <t:Event id="{49E78726-C96E-4BEC-A015-0B0408F1E52D}" time="2022-06-15T05:40:42.494Z">
        <t:Attribution userId="S::kate.hannah@psc.qld.gov.au::fd0c009d-3566-4fae-b61f-50b6900e2efe" userProvider="AD" userName="Kate Hannah"/>
        <t:Anchor>
          <t:Comment id="1921955659"/>
        </t:Anchor>
        <t:Assign userId="S::Shaun.Gordon@psc.qld.gov.au::cb634b4f-4653-4b33-8cea-4938b1a5368f" userProvider="AD" userName="Shaun Gordon"/>
      </t:Event>
      <t:Event id="{06C5BB73-B4EA-45AD-8EA8-EE7F64A1E8C8}" time="2022-06-15T05:40:42.494Z">
        <t:Attribution userId="S::kate.hannah@psc.qld.gov.au::fd0c009d-3566-4fae-b61f-50b6900e2efe" userProvider="AD" userName="Kate Hannah"/>
        <t:Anchor>
          <t:Comment id="1921955659"/>
        </t:Anchor>
        <t:SetTitle title="@Shaun Gordon"/>
      </t:Event>
    </t:History>
  </t:Task>
  <t:Task id="{41815A5B-AC7A-433D-ABAD-398F8CAE7A4F}">
    <t:Anchor>
      <t:Comment id="642461861"/>
    </t:Anchor>
    <t:History>
      <t:Event id="{05CC2AAA-29A7-4C99-BC99-08466CF0849E}" time="2022-06-15T05:40:53.128Z">
        <t:Attribution userId="S::kate.hannah@psc.qld.gov.au::fd0c009d-3566-4fae-b61f-50b6900e2efe" userProvider="AD" userName="Kate Hannah"/>
        <t:Anchor>
          <t:Comment id="1610789174"/>
        </t:Anchor>
        <t:Create/>
      </t:Event>
      <t:Event id="{7DAA18C6-571A-400D-BB0D-BE364428EC29}" time="2022-06-15T05:40:53.128Z">
        <t:Attribution userId="S::kate.hannah@psc.qld.gov.au::fd0c009d-3566-4fae-b61f-50b6900e2efe" userProvider="AD" userName="Kate Hannah"/>
        <t:Anchor>
          <t:Comment id="1610789174"/>
        </t:Anchor>
        <t:Assign userId="S::Shaun.Gordon@psc.qld.gov.au::cb634b4f-4653-4b33-8cea-4938b1a5368f" userProvider="AD" userName="Shaun Gordon"/>
      </t:Event>
      <t:Event id="{F5F09C0D-7326-4C16-82CE-B4BFC136B412}" time="2022-06-15T05:40:53.128Z">
        <t:Attribution userId="S::kate.hannah@psc.qld.gov.au::fd0c009d-3566-4fae-b61f-50b6900e2efe" userProvider="AD" userName="Kate Hannah"/>
        <t:Anchor>
          <t:Comment id="1610789174"/>
        </t:Anchor>
        <t:SetTitle title="@Shaun Gordon"/>
      </t:Event>
    </t:History>
  </t:Task>
  <t:Task id="{CB222B60-F711-47EF-AED2-5F4F4D77D579}">
    <t:Anchor>
      <t:Comment id="642466466"/>
    </t:Anchor>
    <t:History>
      <t:Event id="{469FF936-6D27-496F-9088-E204846EB94E}" time="2022-06-15T05:42:10.941Z">
        <t:Attribution userId="S::kate.hannah@psc.qld.gov.au::fd0c009d-3566-4fae-b61f-50b6900e2efe" userProvider="AD" userName="Kate Hannah"/>
        <t:Anchor>
          <t:Comment id="134553608"/>
        </t:Anchor>
        <t:Create/>
      </t:Event>
      <t:Event id="{4CA73565-7864-41BF-9CFC-1CE987D135B8}" time="2022-06-15T05:42:10.941Z">
        <t:Attribution userId="S::kate.hannah@psc.qld.gov.au::fd0c009d-3566-4fae-b61f-50b6900e2efe" userProvider="AD" userName="Kate Hannah"/>
        <t:Anchor>
          <t:Comment id="134553608"/>
        </t:Anchor>
        <t:Assign userId="S::Shaun.Gordon@psc.qld.gov.au::cb634b4f-4653-4b33-8cea-4938b1a5368f" userProvider="AD" userName="Shaun Gordon"/>
      </t:Event>
      <t:Event id="{9CAF0533-89E4-47C6-9FAE-546023D3732A}" time="2022-06-15T05:42:10.941Z">
        <t:Attribution userId="S::kate.hannah@psc.qld.gov.au::fd0c009d-3566-4fae-b61f-50b6900e2efe" userProvider="AD" userName="Kate Hannah"/>
        <t:Anchor>
          <t:Comment id="134553608"/>
        </t:Anchor>
        <t:SetTitle title="@Shaun Gordon"/>
      </t:Event>
    </t:History>
  </t:Task>
  <t:Task id="{5D4DE901-54D0-460B-A558-293686614908}">
    <t:Anchor>
      <t:Comment id="1640373955"/>
    </t:Anchor>
    <t:History>
      <t:Event id="{E7AA3FB6-AF04-4339-841F-22CBC93BC199}" time="2022-06-15T06:13:53.634Z">
        <t:Attribution userId="S::kate.hannah@psc.qld.gov.au::fd0c009d-3566-4fae-b61f-50b6900e2efe" userProvider="AD" userName="Kate Hannah"/>
        <t:Anchor>
          <t:Comment id="1640373955"/>
        </t:Anchor>
        <t:Create/>
      </t:Event>
      <t:Event id="{B171F420-9E49-4FD3-B3FB-BF288CB41FDA}" time="2022-06-15T06:13:53.634Z">
        <t:Attribution userId="S::kate.hannah@psc.qld.gov.au::fd0c009d-3566-4fae-b61f-50b6900e2efe" userProvider="AD" userName="Kate Hannah"/>
        <t:Anchor>
          <t:Comment id="1640373955"/>
        </t:Anchor>
        <t:Assign userId="S::kevin.brown@psc.qld.gov.au::387c2cef-7a2c-46e3-a9a2-5358f320e73b" userProvider="AD" userName="Kevin Brown"/>
      </t:Event>
      <t:Event id="{31D3BFF1-CB1C-496C-A351-91E0451DC008}" time="2022-06-15T06:13:53.634Z">
        <t:Attribution userId="S::kate.hannah@psc.qld.gov.au::fd0c009d-3566-4fae-b61f-50b6900e2efe" userProvider="AD" userName="Kate Hannah"/>
        <t:Anchor>
          <t:Comment id="1640373955"/>
        </t:Anchor>
        <t:SetTitle title="@Kevin Brown"/>
      </t:Event>
    </t:History>
  </t:Task>
  <t:Task id="{27F4E093-F239-4EC3-8328-A5B3D0F1BF5A}">
    <t:Anchor>
      <t:Comment id="642460844"/>
    </t:Anchor>
    <t:History>
      <t:Event id="{A229911F-8F4C-49DF-AF70-51BE906BDFE9}" time="2022-06-15T06:14:09.98Z">
        <t:Attribution userId="S::kate.hannah@psc.qld.gov.au::fd0c009d-3566-4fae-b61f-50b6900e2efe" userProvider="AD" userName="Kate Hannah"/>
        <t:Anchor>
          <t:Comment id="1966084163"/>
        </t:Anchor>
        <t:Create/>
      </t:Event>
      <t:Event id="{6FF8E723-E5E2-4873-888F-F12E1E581E77}" time="2022-06-15T06:14:09.98Z">
        <t:Attribution userId="S::kate.hannah@psc.qld.gov.au::fd0c009d-3566-4fae-b61f-50b6900e2efe" userProvider="AD" userName="Kate Hannah"/>
        <t:Anchor>
          <t:Comment id="1966084163"/>
        </t:Anchor>
        <t:Assign userId="S::kevin.brown@psc.qld.gov.au::387c2cef-7a2c-46e3-a9a2-5358f320e73b" userProvider="AD" userName="Kevin Brown"/>
      </t:Event>
      <t:Event id="{FB6ABA4C-05BC-46DB-9DA9-D067DAC5B7FE}" time="2022-06-15T06:14:09.98Z">
        <t:Attribution userId="S::kate.hannah@psc.qld.gov.au::fd0c009d-3566-4fae-b61f-50b6900e2efe" userProvider="AD" userName="Kate Hannah"/>
        <t:Anchor>
          <t:Comment id="1966084163"/>
        </t:Anchor>
        <t:SetTitle title="@Kevin Brown"/>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20" ma:contentTypeDescription="Create a new document." ma:contentTypeScope="" ma:versionID="a36270075abd2566fc6c1496d81333f1">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b2da67fb77a01877179cda38a086166b"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element ref="ns2:MediaServiceObjectDetectorVersions" minOccurs="0"/>
                <xsd:element ref="ns2:link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ink0" ma:index="27" nillable="true" ma:displayName="link" ma:format="Hyperlink" ma:internalName="link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f71f86-2bc3-4eda-a5e7-ed52d7073a80">
      <Terms xmlns="http://schemas.microsoft.com/office/infopath/2007/PartnerControls"/>
    </lcf76f155ced4ddcb4097134ff3c332f>
    <TaxCatchAll xmlns="fd5a31b8-7943-496c-9bf2-dda18d38b62a" xsi:nil="true"/>
    <Subjectmatterexpert xmlns="42f71f86-2bc3-4eda-a5e7-ed52d7073a80" xsi:nil="true"/>
    <Link xmlns="42f71f86-2bc3-4eda-a5e7-ed52d7073a80">
      <Url xsi:nil="true"/>
      <Description xsi:nil="true"/>
    </Link>
    <link0 xmlns="42f71f86-2bc3-4eda-a5e7-ed52d7073a80">
      <Url xsi:nil="true"/>
      <Description xsi:nil="true"/>
    </link0>
    <SharedWithUsers xmlns="fd5a31b8-7943-496c-9bf2-dda18d38b62a">
      <UserInfo>
        <DisplayName>Edwina Fox</DisplayName>
        <AccountId>333</AccountId>
        <AccountType/>
      </UserInfo>
      <UserInfo>
        <DisplayName>Irene Ostash</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B7311-64AD-46F0-8215-84E64177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48CDA-623B-44A2-9E47-0668E496991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d5a31b8-7943-496c-9bf2-dda18d38b62a"/>
    <ds:schemaRef ds:uri="http://schemas.microsoft.com/office/2006/metadata/properties"/>
    <ds:schemaRef ds:uri="42f71f86-2bc3-4eda-a5e7-ed52d7073a80"/>
    <ds:schemaRef ds:uri="http://www.w3.org/XML/1998/namespace"/>
    <ds:schemaRef ds:uri="http://purl.org/dc/dcmitype/"/>
  </ds:schemaRefs>
</ds:datastoreItem>
</file>

<file path=customXml/itemProps3.xml><?xml version="1.0" encoding="utf-8"?>
<ds:datastoreItem xmlns:ds="http://schemas.openxmlformats.org/officeDocument/2006/customXml" ds:itemID="{5F8F88D0-4168-4C44-ACED-CCF161287949}">
  <ds:schemaRefs>
    <ds:schemaRef ds:uri="http://schemas.openxmlformats.org/officeDocument/2006/bibliography"/>
  </ds:schemaRefs>
</ds:datastoreItem>
</file>

<file path=customXml/itemProps4.xml><?xml version="1.0" encoding="utf-8"?>
<ds:datastoreItem xmlns:ds="http://schemas.openxmlformats.org/officeDocument/2006/customXml" ds:itemID="{C3359510-680C-44C5-9AAD-E0C27015A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 Report Template.dotx</Template>
  <TotalTime>140</TotalTime>
  <Pages>52</Pages>
  <Words>15864</Words>
  <Characters>90430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Public Service Commission annual report 2022-23</vt:lpstr>
    </vt:vector>
  </TitlesOfParts>
  <Company>Public Sector Commission</Company>
  <LinksUpToDate>false</LinksUpToDate>
  <CharactersWithSpaces>106082</CharactersWithSpaces>
  <SharedDoc>false</SharedDoc>
  <HLinks>
    <vt:vector size="390" baseType="variant">
      <vt:variant>
        <vt:i4>4849682</vt:i4>
      </vt:variant>
      <vt:variant>
        <vt:i4>336</vt:i4>
      </vt:variant>
      <vt:variant>
        <vt:i4>0</vt:i4>
      </vt:variant>
      <vt:variant>
        <vt:i4>5</vt:i4>
      </vt:variant>
      <vt:variant>
        <vt:lpwstr>https://www.integrity.qld.gov.au/publications/annual-reports.aspx</vt:lpwstr>
      </vt:variant>
      <vt:variant>
        <vt:lpwstr/>
      </vt:variant>
      <vt:variant>
        <vt:i4>2883642</vt:i4>
      </vt:variant>
      <vt:variant>
        <vt:i4>333</vt:i4>
      </vt:variant>
      <vt:variant>
        <vt:i4>0</vt:i4>
      </vt:variant>
      <vt:variant>
        <vt:i4>5</vt:i4>
      </vt:variant>
      <vt:variant>
        <vt:lpwstr>https://aus01.safelinks.protection.outlook.com/?url=http%3A%2F%2Fwww.psc.qld.gov.au%2F&amp;data=05%7C01%7CShaun.Gordon%40psc.qld.gov.au%7C0dfcb364cdfb4f0a555208db3e6fc018%7C51778d2aa6ab4c7697dc782782d65046%7C1%7C0%7C638172421920632254%7CUnknown%7CTWFpbGZsb3d8eyJWIjoiMC4wLjAwMDAiLCJQIjoiV2luMzIiLCJBTiI6Ik1haWwiLCJXVCI6Mn0%3D%7C3000%7C%7C%7C&amp;sdata=%2FDw4gnN54ZZHv%2F92DqNhGdcrR43ZkkU9gfgtWovhLwQ%3D&amp;reserved=0</vt:lpwstr>
      </vt:variant>
      <vt:variant>
        <vt:lpwstr/>
      </vt:variant>
      <vt:variant>
        <vt:i4>3080281</vt:i4>
      </vt:variant>
      <vt:variant>
        <vt:i4>330</vt:i4>
      </vt:variant>
      <vt:variant>
        <vt:i4>0</vt:i4>
      </vt:variant>
      <vt:variant>
        <vt:i4>5</vt:i4>
      </vt:variant>
      <vt:variant>
        <vt:lpwstr>mailto:commission.psc@psc.qld.gov.au</vt:lpwstr>
      </vt:variant>
      <vt:variant>
        <vt:lpwstr/>
      </vt:variant>
      <vt:variant>
        <vt:i4>7995456</vt:i4>
      </vt:variant>
      <vt:variant>
        <vt:i4>327</vt:i4>
      </vt:variant>
      <vt:variant>
        <vt:i4>0</vt:i4>
      </vt:variant>
      <vt:variant>
        <vt:i4>5</vt:i4>
      </vt:variant>
      <vt:variant>
        <vt:lpwstr>mailto:ir@oir.qld.gov.au</vt:lpwstr>
      </vt:variant>
      <vt:variant>
        <vt:lpwstr/>
      </vt:variant>
      <vt:variant>
        <vt:i4>262212</vt:i4>
      </vt:variant>
      <vt:variant>
        <vt:i4>324</vt:i4>
      </vt:variant>
      <vt:variant>
        <vt:i4>0</vt:i4>
      </vt:variant>
      <vt:variant>
        <vt:i4>5</vt:i4>
      </vt:variant>
      <vt:variant>
        <vt:lpwstr>https://www.forgov.qld.gov.au/employment-policy-career-and-wellbeing/directives-policies-circulars-and-guidelines/early-retirement-redundancy-and-retrenchment-directive-0418</vt:lpwstr>
      </vt:variant>
      <vt:variant>
        <vt:lpwstr/>
      </vt:variant>
      <vt:variant>
        <vt:i4>1376339</vt:i4>
      </vt:variant>
      <vt:variant>
        <vt:i4>321</vt:i4>
      </vt:variant>
      <vt:variant>
        <vt:i4>0</vt:i4>
      </vt:variant>
      <vt:variant>
        <vt:i4>5</vt:i4>
      </vt:variant>
      <vt:variant>
        <vt:lpwstr>https://www.qao.qld.gov.au/reports-resources/reports-parliament/effectiveness-audit-committees-state-government-entities</vt:lpwstr>
      </vt:variant>
      <vt:variant>
        <vt:lpwstr/>
      </vt:variant>
      <vt:variant>
        <vt:i4>7667741</vt:i4>
      </vt:variant>
      <vt:variant>
        <vt:i4>318</vt:i4>
      </vt:variant>
      <vt:variant>
        <vt:i4>0</vt:i4>
      </vt:variant>
      <vt:variant>
        <vt:i4>5</vt:i4>
      </vt:variant>
      <vt:variant>
        <vt:lpwstr>https://www.qld.gov.au/__data/assets/pdf_file/0008/331001/Queensland-Public-Service-Commission-Strategic-Plan-2022-2026v2.pdf</vt:lpwstr>
      </vt:variant>
      <vt:variant>
        <vt:lpwstr/>
      </vt:variant>
      <vt:variant>
        <vt:i4>2424875</vt:i4>
      </vt:variant>
      <vt:variant>
        <vt:i4>315</vt:i4>
      </vt:variant>
      <vt:variant>
        <vt:i4>0</vt:i4>
      </vt:variant>
      <vt:variant>
        <vt:i4>5</vt:i4>
      </vt:variant>
      <vt:variant>
        <vt:lpwstr>https://www.qld.gov.au/about/how-government-works/objectives-for-the-community</vt:lpwstr>
      </vt:variant>
      <vt:variant>
        <vt:lpwstr/>
      </vt:variant>
      <vt:variant>
        <vt:i4>1441846</vt:i4>
      </vt:variant>
      <vt:variant>
        <vt:i4>312</vt:i4>
      </vt:variant>
      <vt:variant>
        <vt:i4>0</vt:i4>
      </vt:variant>
      <vt:variant>
        <vt:i4>5</vt:i4>
      </vt:variant>
      <vt:variant>
        <vt:lpwstr>https://www.qld.gov.au/__data/assets/pdf_file/0014/313700/Queensland-public-sector-Gender-pay-equity-dashboard-2022.pdf</vt:lpwstr>
      </vt:variant>
      <vt:variant>
        <vt:lpwstr/>
      </vt:variant>
      <vt:variant>
        <vt:i4>6488118</vt:i4>
      </vt:variant>
      <vt:variant>
        <vt:i4>309</vt:i4>
      </vt:variant>
      <vt:variant>
        <vt:i4>0</vt:i4>
      </vt:variant>
      <vt:variant>
        <vt:i4>5</vt:i4>
      </vt:variant>
      <vt:variant>
        <vt:lpwstr>https://www.psc.qld.gov.au/</vt:lpwstr>
      </vt:variant>
      <vt:variant>
        <vt:lpwstr/>
      </vt:variant>
      <vt:variant>
        <vt:i4>1376319</vt:i4>
      </vt:variant>
      <vt:variant>
        <vt:i4>302</vt:i4>
      </vt:variant>
      <vt:variant>
        <vt:i4>0</vt:i4>
      </vt:variant>
      <vt:variant>
        <vt:i4>5</vt:i4>
      </vt:variant>
      <vt:variant>
        <vt:lpwstr/>
      </vt:variant>
      <vt:variant>
        <vt:lpwstr>_Toc145926999</vt:lpwstr>
      </vt:variant>
      <vt:variant>
        <vt:i4>1376319</vt:i4>
      </vt:variant>
      <vt:variant>
        <vt:i4>296</vt:i4>
      </vt:variant>
      <vt:variant>
        <vt:i4>0</vt:i4>
      </vt:variant>
      <vt:variant>
        <vt:i4>5</vt:i4>
      </vt:variant>
      <vt:variant>
        <vt:lpwstr/>
      </vt:variant>
      <vt:variant>
        <vt:lpwstr>_Toc145926998</vt:lpwstr>
      </vt:variant>
      <vt:variant>
        <vt:i4>1376319</vt:i4>
      </vt:variant>
      <vt:variant>
        <vt:i4>290</vt:i4>
      </vt:variant>
      <vt:variant>
        <vt:i4>0</vt:i4>
      </vt:variant>
      <vt:variant>
        <vt:i4>5</vt:i4>
      </vt:variant>
      <vt:variant>
        <vt:lpwstr/>
      </vt:variant>
      <vt:variant>
        <vt:lpwstr>_Toc145926997</vt:lpwstr>
      </vt:variant>
      <vt:variant>
        <vt:i4>1376319</vt:i4>
      </vt:variant>
      <vt:variant>
        <vt:i4>284</vt:i4>
      </vt:variant>
      <vt:variant>
        <vt:i4>0</vt:i4>
      </vt:variant>
      <vt:variant>
        <vt:i4>5</vt:i4>
      </vt:variant>
      <vt:variant>
        <vt:lpwstr/>
      </vt:variant>
      <vt:variant>
        <vt:lpwstr>_Toc145926996</vt:lpwstr>
      </vt:variant>
      <vt:variant>
        <vt:i4>1966143</vt:i4>
      </vt:variant>
      <vt:variant>
        <vt:i4>278</vt:i4>
      </vt:variant>
      <vt:variant>
        <vt:i4>0</vt:i4>
      </vt:variant>
      <vt:variant>
        <vt:i4>5</vt:i4>
      </vt:variant>
      <vt:variant>
        <vt:lpwstr/>
      </vt:variant>
      <vt:variant>
        <vt:lpwstr>_Toc145926929</vt:lpwstr>
      </vt:variant>
      <vt:variant>
        <vt:i4>1966143</vt:i4>
      </vt:variant>
      <vt:variant>
        <vt:i4>272</vt:i4>
      </vt:variant>
      <vt:variant>
        <vt:i4>0</vt:i4>
      </vt:variant>
      <vt:variant>
        <vt:i4>5</vt:i4>
      </vt:variant>
      <vt:variant>
        <vt:lpwstr/>
      </vt:variant>
      <vt:variant>
        <vt:lpwstr>_Toc145926928</vt:lpwstr>
      </vt:variant>
      <vt:variant>
        <vt:i4>1966143</vt:i4>
      </vt:variant>
      <vt:variant>
        <vt:i4>266</vt:i4>
      </vt:variant>
      <vt:variant>
        <vt:i4>0</vt:i4>
      </vt:variant>
      <vt:variant>
        <vt:i4>5</vt:i4>
      </vt:variant>
      <vt:variant>
        <vt:lpwstr/>
      </vt:variant>
      <vt:variant>
        <vt:lpwstr>_Toc145926927</vt:lpwstr>
      </vt:variant>
      <vt:variant>
        <vt:i4>1966143</vt:i4>
      </vt:variant>
      <vt:variant>
        <vt:i4>260</vt:i4>
      </vt:variant>
      <vt:variant>
        <vt:i4>0</vt:i4>
      </vt:variant>
      <vt:variant>
        <vt:i4>5</vt:i4>
      </vt:variant>
      <vt:variant>
        <vt:lpwstr/>
      </vt:variant>
      <vt:variant>
        <vt:lpwstr>_Toc145926926</vt:lpwstr>
      </vt:variant>
      <vt:variant>
        <vt:i4>1966143</vt:i4>
      </vt:variant>
      <vt:variant>
        <vt:i4>254</vt:i4>
      </vt:variant>
      <vt:variant>
        <vt:i4>0</vt:i4>
      </vt:variant>
      <vt:variant>
        <vt:i4>5</vt:i4>
      </vt:variant>
      <vt:variant>
        <vt:lpwstr/>
      </vt:variant>
      <vt:variant>
        <vt:lpwstr>_Toc145926925</vt:lpwstr>
      </vt:variant>
      <vt:variant>
        <vt:i4>1966143</vt:i4>
      </vt:variant>
      <vt:variant>
        <vt:i4>248</vt:i4>
      </vt:variant>
      <vt:variant>
        <vt:i4>0</vt:i4>
      </vt:variant>
      <vt:variant>
        <vt:i4>5</vt:i4>
      </vt:variant>
      <vt:variant>
        <vt:lpwstr/>
      </vt:variant>
      <vt:variant>
        <vt:lpwstr>_Toc145926924</vt:lpwstr>
      </vt:variant>
      <vt:variant>
        <vt:i4>1966143</vt:i4>
      </vt:variant>
      <vt:variant>
        <vt:i4>242</vt:i4>
      </vt:variant>
      <vt:variant>
        <vt:i4>0</vt:i4>
      </vt:variant>
      <vt:variant>
        <vt:i4>5</vt:i4>
      </vt:variant>
      <vt:variant>
        <vt:lpwstr/>
      </vt:variant>
      <vt:variant>
        <vt:lpwstr>_Toc145926923</vt:lpwstr>
      </vt:variant>
      <vt:variant>
        <vt:i4>1966143</vt:i4>
      </vt:variant>
      <vt:variant>
        <vt:i4>236</vt:i4>
      </vt:variant>
      <vt:variant>
        <vt:i4>0</vt:i4>
      </vt:variant>
      <vt:variant>
        <vt:i4>5</vt:i4>
      </vt:variant>
      <vt:variant>
        <vt:lpwstr/>
      </vt:variant>
      <vt:variant>
        <vt:lpwstr>_Toc145926922</vt:lpwstr>
      </vt:variant>
      <vt:variant>
        <vt:i4>1966143</vt:i4>
      </vt:variant>
      <vt:variant>
        <vt:i4>230</vt:i4>
      </vt:variant>
      <vt:variant>
        <vt:i4>0</vt:i4>
      </vt:variant>
      <vt:variant>
        <vt:i4>5</vt:i4>
      </vt:variant>
      <vt:variant>
        <vt:lpwstr/>
      </vt:variant>
      <vt:variant>
        <vt:lpwstr>_Toc145926921</vt:lpwstr>
      </vt:variant>
      <vt:variant>
        <vt:i4>1966143</vt:i4>
      </vt:variant>
      <vt:variant>
        <vt:i4>224</vt:i4>
      </vt:variant>
      <vt:variant>
        <vt:i4>0</vt:i4>
      </vt:variant>
      <vt:variant>
        <vt:i4>5</vt:i4>
      </vt:variant>
      <vt:variant>
        <vt:lpwstr/>
      </vt:variant>
      <vt:variant>
        <vt:lpwstr>_Toc145926920</vt:lpwstr>
      </vt:variant>
      <vt:variant>
        <vt:i4>1900607</vt:i4>
      </vt:variant>
      <vt:variant>
        <vt:i4>218</vt:i4>
      </vt:variant>
      <vt:variant>
        <vt:i4>0</vt:i4>
      </vt:variant>
      <vt:variant>
        <vt:i4>5</vt:i4>
      </vt:variant>
      <vt:variant>
        <vt:lpwstr/>
      </vt:variant>
      <vt:variant>
        <vt:lpwstr>_Toc145926919</vt:lpwstr>
      </vt:variant>
      <vt:variant>
        <vt:i4>1900607</vt:i4>
      </vt:variant>
      <vt:variant>
        <vt:i4>212</vt:i4>
      </vt:variant>
      <vt:variant>
        <vt:i4>0</vt:i4>
      </vt:variant>
      <vt:variant>
        <vt:i4>5</vt:i4>
      </vt:variant>
      <vt:variant>
        <vt:lpwstr/>
      </vt:variant>
      <vt:variant>
        <vt:lpwstr>_Toc145926918</vt:lpwstr>
      </vt:variant>
      <vt:variant>
        <vt:i4>1900607</vt:i4>
      </vt:variant>
      <vt:variant>
        <vt:i4>206</vt:i4>
      </vt:variant>
      <vt:variant>
        <vt:i4>0</vt:i4>
      </vt:variant>
      <vt:variant>
        <vt:i4>5</vt:i4>
      </vt:variant>
      <vt:variant>
        <vt:lpwstr/>
      </vt:variant>
      <vt:variant>
        <vt:lpwstr>_Toc145926917</vt:lpwstr>
      </vt:variant>
      <vt:variant>
        <vt:i4>1900607</vt:i4>
      </vt:variant>
      <vt:variant>
        <vt:i4>200</vt:i4>
      </vt:variant>
      <vt:variant>
        <vt:i4>0</vt:i4>
      </vt:variant>
      <vt:variant>
        <vt:i4>5</vt:i4>
      </vt:variant>
      <vt:variant>
        <vt:lpwstr/>
      </vt:variant>
      <vt:variant>
        <vt:lpwstr>_Toc145926916</vt:lpwstr>
      </vt:variant>
      <vt:variant>
        <vt:i4>1900607</vt:i4>
      </vt:variant>
      <vt:variant>
        <vt:i4>194</vt:i4>
      </vt:variant>
      <vt:variant>
        <vt:i4>0</vt:i4>
      </vt:variant>
      <vt:variant>
        <vt:i4>5</vt:i4>
      </vt:variant>
      <vt:variant>
        <vt:lpwstr/>
      </vt:variant>
      <vt:variant>
        <vt:lpwstr>_Toc145926915</vt:lpwstr>
      </vt:variant>
      <vt:variant>
        <vt:i4>1900607</vt:i4>
      </vt:variant>
      <vt:variant>
        <vt:i4>188</vt:i4>
      </vt:variant>
      <vt:variant>
        <vt:i4>0</vt:i4>
      </vt:variant>
      <vt:variant>
        <vt:i4>5</vt:i4>
      </vt:variant>
      <vt:variant>
        <vt:lpwstr/>
      </vt:variant>
      <vt:variant>
        <vt:lpwstr>_Toc145926914</vt:lpwstr>
      </vt:variant>
      <vt:variant>
        <vt:i4>1900607</vt:i4>
      </vt:variant>
      <vt:variant>
        <vt:i4>182</vt:i4>
      </vt:variant>
      <vt:variant>
        <vt:i4>0</vt:i4>
      </vt:variant>
      <vt:variant>
        <vt:i4>5</vt:i4>
      </vt:variant>
      <vt:variant>
        <vt:lpwstr/>
      </vt:variant>
      <vt:variant>
        <vt:lpwstr>_Toc145926913</vt:lpwstr>
      </vt:variant>
      <vt:variant>
        <vt:i4>1900607</vt:i4>
      </vt:variant>
      <vt:variant>
        <vt:i4>176</vt:i4>
      </vt:variant>
      <vt:variant>
        <vt:i4>0</vt:i4>
      </vt:variant>
      <vt:variant>
        <vt:i4>5</vt:i4>
      </vt:variant>
      <vt:variant>
        <vt:lpwstr/>
      </vt:variant>
      <vt:variant>
        <vt:lpwstr>_Toc145926912</vt:lpwstr>
      </vt:variant>
      <vt:variant>
        <vt:i4>1900607</vt:i4>
      </vt:variant>
      <vt:variant>
        <vt:i4>170</vt:i4>
      </vt:variant>
      <vt:variant>
        <vt:i4>0</vt:i4>
      </vt:variant>
      <vt:variant>
        <vt:i4>5</vt:i4>
      </vt:variant>
      <vt:variant>
        <vt:lpwstr/>
      </vt:variant>
      <vt:variant>
        <vt:lpwstr>_Toc145926911</vt:lpwstr>
      </vt:variant>
      <vt:variant>
        <vt:i4>1900607</vt:i4>
      </vt:variant>
      <vt:variant>
        <vt:i4>164</vt:i4>
      </vt:variant>
      <vt:variant>
        <vt:i4>0</vt:i4>
      </vt:variant>
      <vt:variant>
        <vt:i4>5</vt:i4>
      </vt:variant>
      <vt:variant>
        <vt:lpwstr/>
      </vt:variant>
      <vt:variant>
        <vt:lpwstr>_Toc145926910</vt:lpwstr>
      </vt:variant>
      <vt:variant>
        <vt:i4>1835071</vt:i4>
      </vt:variant>
      <vt:variant>
        <vt:i4>158</vt:i4>
      </vt:variant>
      <vt:variant>
        <vt:i4>0</vt:i4>
      </vt:variant>
      <vt:variant>
        <vt:i4>5</vt:i4>
      </vt:variant>
      <vt:variant>
        <vt:lpwstr/>
      </vt:variant>
      <vt:variant>
        <vt:lpwstr>_Toc145926909</vt:lpwstr>
      </vt:variant>
      <vt:variant>
        <vt:i4>1835071</vt:i4>
      </vt:variant>
      <vt:variant>
        <vt:i4>152</vt:i4>
      </vt:variant>
      <vt:variant>
        <vt:i4>0</vt:i4>
      </vt:variant>
      <vt:variant>
        <vt:i4>5</vt:i4>
      </vt:variant>
      <vt:variant>
        <vt:lpwstr/>
      </vt:variant>
      <vt:variant>
        <vt:lpwstr>_Toc145926908</vt:lpwstr>
      </vt:variant>
      <vt:variant>
        <vt:i4>1835071</vt:i4>
      </vt:variant>
      <vt:variant>
        <vt:i4>146</vt:i4>
      </vt:variant>
      <vt:variant>
        <vt:i4>0</vt:i4>
      </vt:variant>
      <vt:variant>
        <vt:i4>5</vt:i4>
      </vt:variant>
      <vt:variant>
        <vt:lpwstr/>
      </vt:variant>
      <vt:variant>
        <vt:lpwstr>_Toc145926907</vt:lpwstr>
      </vt:variant>
      <vt:variant>
        <vt:i4>1835071</vt:i4>
      </vt:variant>
      <vt:variant>
        <vt:i4>140</vt:i4>
      </vt:variant>
      <vt:variant>
        <vt:i4>0</vt:i4>
      </vt:variant>
      <vt:variant>
        <vt:i4>5</vt:i4>
      </vt:variant>
      <vt:variant>
        <vt:lpwstr/>
      </vt:variant>
      <vt:variant>
        <vt:lpwstr>_Toc145926906</vt:lpwstr>
      </vt:variant>
      <vt:variant>
        <vt:i4>1835071</vt:i4>
      </vt:variant>
      <vt:variant>
        <vt:i4>134</vt:i4>
      </vt:variant>
      <vt:variant>
        <vt:i4>0</vt:i4>
      </vt:variant>
      <vt:variant>
        <vt:i4>5</vt:i4>
      </vt:variant>
      <vt:variant>
        <vt:lpwstr/>
      </vt:variant>
      <vt:variant>
        <vt:lpwstr>_Toc145926905</vt:lpwstr>
      </vt:variant>
      <vt:variant>
        <vt:i4>1835071</vt:i4>
      </vt:variant>
      <vt:variant>
        <vt:i4>128</vt:i4>
      </vt:variant>
      <vt:variant>
        <vt:i4>0</vt:i4>
      </vt:variant>
      <vt:variant>
        <vt:i4>5</vt:i4>
      </vt:variant>
      <vt:variant>
        <vt:lpwstr/>
      </vt:variant>
      <vt:variant>
        <vt:lpwstr>_Toc145926904</vt:lpwstr>
      </vt:variant>
      <vt:variant>
        <vt:i4>1835071</vt:i4>
      </vt:variant>
      <vt:variant>
        <vt:i4>122</vt:i4>
      </vt:variant>
      <vt:variant>
        <vt:i4>0</vt:i4>
      </vt:variant>
      <vt:variant>
        <vt:i4>5</vt:i4>
      </vt:variant>
      <vt:variant>
        <vt:lpwstr/>
      </vt:variant>
      <vt:variant>
        <vt:lpwstr>_Toc145926903</vt:lpwstr>
      </vt:variant>
      <vt:variant>
        <vt:i4>1835071</vt:i4>
      </vt:variant>
      <vt:variant>
        <vt:i4>116</vt:i4>
      </vt:variant>
      <vt:variant>
        <vt:i4>0</vt:i4>
      </vt:variant>
      <vt:variant>
        <vt:i4>5</vt:i4>
      </vt:variant>
      <vt:variant>
        <vt:lpwstr/>
      </vt:variant>
      <vt:variant>
        <vt:lpwstr>_Toc145926902</vt:lpwstr>
      </vt:variant>
      <vt:variant>
        <vt:i4>1835071</vt:i4>
      </vt:variant>
      <vt:variant>
        <vt:i4>110</vt:i4>
      </vt:variant>
      <vt:variant>
        <vt:i4>0</vt:i4>
      </vt:variant>
      <vt:variant>
        <vt:i4>5</vt:i4>
      </vt:variant>
      <vt:variant>
        <vt:lpwstr/>
      </vt:variant>
      <vt:variant>
        <vt:lpwstr>_Toc145926901</vt:lpwstr>
      </vt:variant>
      <vt:variant>
        <vt:i4>1835071</vt:i4>
      </vt:variant>
      <vt:variant>
        <vt:i4>104</vt:i4>
      </vt:variant>
      <vt:variant>
        <vt:i4>0</vt:i4>
      </vt:variant>
      <vt:variant>
        <vt:i4>5</vt:i4>
      </vt:variant>
      <vt:variant>
        <vt:lpwstr/>
      </vt:variant>
      <vt:variant>
        <vt:lpwstr>_Toc145926900</vt:lpwstr>
      </vt:variant>
      <vt:variant>
        <vt:i4>1376318</vt:i4>
      </vt:variant>
      <vt:variant>
        <vt:i4>98</vt:i4>
      </vt:variant>
      <vt:variant>
        <vt:i4>0</vt:i4>
      </vt:variant>
      <vt:variant>
        <vt:i4>5</vt:i4>
      </vt:variant>
      <vt:variant>
        <vt:lpwstr/>
      </vt:variant>
      <vt:variant>
        <vt:lpwstr>_Toc145926899</vt:lpwstr>
      </vt:variant>
      <vt:variant>
        <vt:i4>1376318</vt:i4>
      </vt:variant>
      <vt:variant>
        <vt:i4>92</vt:i4>
      </vt:variant>
      <vt:variant>
        <vt:i4>0</vt:i4>
      </vt:variant>
      <vt:variant>
        <vt:i4>5</vt:i4>
      </vt:variant>
      <vt:variant>
        <vt:lpwstr/>
      </vt:variant>
      <vt:variant>
        <vt:lpwstr>_Toc145926898</vt:lpwstr>
      </vt:variant>
      <vt:variant>
        <vt:i4>1376318</vt:i4>
      </vt:variant>
      <vt:variant>
        <vt:i4>86</vt:i4>
      </vt:variant>
      <vt:variant>
        <vt:i4>0</vt:i4>
      </vt:variant>
      <vt:variant>
        <vt:i4>5</vt:i4>
      </vt:variant>
      <vt:variant>
        <vt:lpwstr/>
      </vt:variant>
      <vt:variant>
        <vt:lpwstr>_Toc145926897</vt:lpwstr>
      </vt:variant>
      <vt:variant>
        <vt:i4>1376318</vt:i4>
      </vt:variant>
      <vt:variant>
        <vt:i4>80</vt:i4>
      </vt:variant>
      <vt:variant>
        <vt:i4>0</vt:i4>
      </vt:variant>
      <vt:variant>
        <vt:i4>5</vt:i4>
      </vt:variant>
      <vt:variant>
        <vt:lpwstr/>
      </vt:variant>
      <vt:variant>
        <vt:lpwstr>_Toc145926896</vt:lpwstr>
      </vt:variant>
      <vt:variant>
        <vt:i4>1376318</vt:i4>
      </vt:variant>
      <vt:variant>
        <vt:i4>74</vt:i4>
      </vt:variant>
      <vt:variant>
        <vt:i4>0</vt:i4>
      </vt:variant>
      <vt:variant>
        <vt:i4>5</vt:i4>
      </vt:variant>
      <vt:variant>
        <vt:lpwstr/>
      </vt:variant>
      <vt:variant>
        <vt:lpwstr>_Toc145926895</vt:lpwstr>
      </vt:variant>
      <vt:variant>
        <vt:i4>1376318</vt:i4>
      </vt:variant>
      <vt:variant>
        <vt:i4>68</vt:i4>
      </vt:variant>
      <vt:variant>
        <vt:i4>0</vt:i4>
      </vt:variant>
      <vt:variant>
        <vt:i4>5</vt:i4>
      </vt:variant>
      <vt:variant>
        <vt:lpwstr/>
      </vt:variant>
      <vt:variant>
        <vt:lpwstr>_Toc145926894</vt:lpwstr>
      </vt:variant>
      <vt:variant>
        <vt:i4>1376318</vt:i4>
      </vt:variant>
      <vt:variant>
        <vt:i4>62</vt:i4>
      </vt:variant>
      <vt:variant>
        <vt:i4>0</vt:i4>
      </vt:variant>
      <vt:variant>
        <vt:i4>5</vt:i4>
      </vt:variant>
      <vt:variant>
        <vt:lpwstr/>
      </vt:variant>
      <vt:variant>
        <vt:lpwstr>_Toc145926893</vt:lpwstr>
      </vt:variant>
      <vt:variant>
        <vt:i4>1376318</vt:i4>
      </vt:variant>
      <vt:variant>
        <vt:i4>56</vt:i4>
      </vt:variant>
      <vt:variant>
        <vt:i4>0</vt:i4>
      </vt:variant>
      <vt:variant>
        <vt:i4>5</vt:i4>
      </vt:variant>
      <vt:variant>
        <vt:lpwstr/>
      </vt:variant>
      <vt:variant>
        <vt:lpwstr>_Toc145926892</vt:lpwstr>
      </vt:variant>
      <vt:variant>
        <vt:i4>1376318</vt:i4>
      </vt:variant>
      <vt:variant>
        <vt:i4>50</vt:i4>
      </vt:variant>
      <vt:variant>
        <vt:i4>0</vt:i4>
      </vt:variant>
      <vt:variant>
        <vt:i4>5</vt:i4>
      </vt:variant>
      <vt:variant>
        <vt:lpwstr/>
      </vt:variant>
      <vt:variant>
        <vt:lpwstr>_Toc145926891</vt:lpwstr>
      </vt:variant>
      <vt:variant>
        <vt:i4>1376318</vt:i4>
      </vt:variant>
      <vt:variant>
        <vt:i4>44</vt:i4>
      </vt:variant>
      <vt:variant>
        <vt:i4>0</vt:i4>
      </vt:variant>
      <vt:variant>
        <vt:i4>5</vt:i4>
      </vt:variant>
      <vt:variant>
        <vt:lpwstr/>
      </vt:variant>
      <vt:variant>
        <vt:lpwstr>_Toc145926890</vt:lpwstr>
      </vt:variant>
      <vt:variant>
        <vt:i4>1310782</vt:i4>
      </vt:variant>
      <vt:variant>
        <vt:i4>38</vt:i4>
      </vt:variant>
      <vt:variant>
        <vt:i4>0</vt:i4>
      </vt:variant>
      <vt:variant>
        <vt:i4>5</vt:i4>
      </vt:variant>
      <vt:variant>
        <vt:lpwstr/>
      </vt:variant>
      <vt:variant>
        <vt:lpwstr>_Toc145926889</vt:lpwstr>
      </vt:variant>
      <vt:variant>
        <vt:i4>1310782</vt:i4>
      </vt:variant>
      <vt:variant>
        <vt:i4>32</vt:i4>
      </vt:variant>
      <vt:variant>
        <vt:i4>0</vt:i4>
      </vt:variant>
      <vt:variant>
        <vt:i4>5</vt:i4>
      </vt:variant>
      <vt:variant>
        <vt:lpwstr/>
      </vt:variant>
      <vt:variant>
        <vt:lpwstr>_Toc145926888</vt:lpwstr>
      </vt:variant>
      <vt:variant>
        <vt:i4>1310782</vt:i4>
      </vt:variant>
      <vt:variant>
        <vt:i4>26</vt:i4>
      </vt:variant>
      <vt:variant>
        <vt:i4>0</vt:i4>
      </vt:variant>
      <vt:variant>
        <vt:i4>5</vt:i4>
      </vt:variant>
      <vt:variant>
        <vt:lpwstr/>
      </vt:variant>
      <vt:variant>
        <vt:lpwstr>_Toc145926887</vt:lpwstr>
      </vt:variant>
      <vt:variant>
        <vt:i4>1310782</vt:i4>
      </vt:variant>
      <vt:variant>
        <vt:i4>20</vt:i4>
      </vt:variant>
      <vt:variant>
        <vt:i4>0</vt:i4>
      </vt:variant>
      <vt:variant>
        <vt:i4>5</vt:i4>
      </vt:variant>
      <vt:variant>
        <vt:lpwstr/>
      </vt:variant>
      <vt:variant>
        <vt:lpwstr>_Toc145926886</vt:lpwstr>
      </vt:variant>
      <vt:variant>
        <vt:i4>4653082</vt:i4>
      </vt:variant>
      <vt:variant>
        <vt:i4>15</vt:i4>
      </vt:variant>
      <vt:variant>
        <vt:i4>0</vt:i4>
      </vt:variant>
      <vt:variant>
        <vt:i4>5</vt:i4>
      </vt:variant>
      <vt:variant>
        <vt:lpwstr>https://www.qld.gov.au/about/how-government-works/government-structure/public-service-commission</vt:lpwstr>
      </vt:variant>
      <vt:variant>
        <vt:lpwstr/>
      </vt:variant>
      <vt:variant>
        <vt:i4>3080281</vt:i4>
      </vt:variant>
      <vt:variant>
        <vt:i4>12</vt:i4>
      </vt:variant>
      <vt:variant>
        <vt:i4>0</vt:i4>
      </vt:variant>
      <vt:variant>
        <vt:i4>5</vt:i4>
      </vt:variant>
      <vt:variant>
        <vt:lpwstr>mailto:commission.psc@psc.qld.gov.au</vt:lpwstr>
      </vt:variant>
      <vt:variant>
        <vt:lpwstr/>
      </vt:variant>
      <vt:variant>
        <vt:i4>5308424</vt:i4>
      </vt:variant>
      <vt:variant>
        <vt:i4>9</vt:i4>
      </vt:variant>
      <vt:variant>
        <vt:i4>0</vt:i4>
      </vt:variant>
      <vt:variant>
        <vt:i4>5</vt:i4>
      </vt:variant>
      <vt:variant>
        <vt:lpwstr>https://creativecommons.org/licenses/by/4.0/</vt:lpwstr>
      </vt:variant>
      <vt:variant>
        <vt:lpwstr/>
      </vt:variant>
      <vt:variant>
        <vt:i4>6488117</vt:i4>
      </vt:variant>
      <vt:variant>
        <vt:i4>6</vt:i4>
      </vt:variant>
      <vt:variant>
        <vt:i4>0</vt:i4>
      </vt:variant>
      <vt:variant>
        <vt:i4>5</vt:i4>
      </vt:variant>
      <vt:variant>
        <vt:lpwstr>http://www.data.qld.gov.au/</vt:lpwstr>
      </vt:variant>
      <vt:variant>
        <vt:lpwstr/>
      </vt:variant>
      <vt:variant>
        <vt:i4>3014718</vt:i4>
      </vt:variant>
      <vt:variant>
        <vt:i4>3</vt:i4>
      </vt:variant>
      <vt:variant>
        <vt:i4>0</vt:i4>
      </vt:variant>
      <vt:variant>
        <vt:i4>5</vt:i4>
      </vt:variant>
      <vt:variant>
        <vt:lpwstr>https://s3.treasury.qld.gov.au/files/Budget_2022-23_SDS_Department_of_the_Premier_and_Cabinet.pdf</vt:lpwstr>
      </vt:variant>
      <vt:variant>
        <vt:lpwstr/>
      </vt:variant>
      <vt:variant>
        <vt:i4>7929957</vt:i4>
      </vt:variant>
      <vt:variant>
        <vt:i4>0</vt:i4>
      </vt:variant>
      <vt:variant>
        <vt:i4>0</vt:i4>
      </vt:variant>
      <vt:variant>
        <vt:i4>5</vt:i4>
      </vt:variant>
      <vt:variant>
        <vt:lpwstr>https://www.qld.gov.au/about/how-government-works/government-structure/public-sector-commission/about/assets/Queensland-Public-Service-Commission-Strategic-Plan-2022-2026.pdf</vt:lpwstr>
      </vt:variant>
      <vt:variant>
        <vt:lpwstr/>
      </vt:variant>
      <vt:variant>
        <vt:i4>7471227</vt:i4>
      </vt:variant>
      <vt:variant>
        <vt:i4>0</vt:i4>
      </vt:variant>
      <vt:variant>
        <vt:i4>0</vt:i4>
      </vt:variant>
      <vt:variant>
        <vt:i4>5</vt:i4>
      </vt:variant>
      <vt:variant>
        <vt:lpwstr>http://www.psc.qld.gov.au/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Commission annual report 2022-23</dc:title>
  <dc:subject>Annual report</dc:subject>
  <dc:creator>Public Sector Commission;Queensland Government</dc:creator>
  <cp:keywords>Public Sector Commission, PSC, annual report, financials, non-financials, performance, 2022-23, 2022, 2023, 22-23</cp:keywords>
  <dc:description/>
  <cp:revision>82</cp:revision>
  <cp:lastPrinted>2023-08-04T17:09:00Z</cp:lastPrinted>
  <dcterms:created xsi:type="dcterms:W3CDTF">2023-09-18T01:49:00Z</dcterms:created>
  <dcterms:modified xsi:type="dcterms:W3CDTF">2023-10-04T05:59:00Z</dcterms:modified>
  <cp:category>Annual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_dlc_DocIdItemGuid">
    <vt:lpwstr>de411654-826c-48d1-9fbd-f6031ea8faac</vt:lpwstr>
  </property>
  <property fmtid="{D5CDD505-2E9C-101B-9397-08002B2CF9AE}" pid="4" name="MediaServiceImageTags">
    <vt:lpwstr/>
  </property>
</Properties>
</file>